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B7AAC">
      <w:pPr>
        <w:spacing w:line="360" w:lineRule="auto"/>
        <w:jc w:val="center"/>
        <w:rPr>
          <w:rFonts w:hint="eastAsia" w:ascii="宋体" w:hAnsi="宋体" w:cs="Arial"/>
          <w:b/>
          <w:sz w:val="32"/>
          <w:szCs w:val="24"/>
        </w:rPr>
      </w:pPr>
      <w:r>
        <w:rPr>
          <w:rFonts w:hint="eastAsia" w:ascii="宋体" w:hAnsi="宋体" w:cs="Arial"/>
          <w:b/>
          <w:sz w:val="32"/>
          <w:szCs w:val="24"/>
        </w:rPr>
        <w:t>流式细胞仪参数</w:t>
      </w:r>
    </w:p>
    <w:p w14:paraId="3C7FEBA4">
      <w:pPr>
        <w:numPr>
          <w:ilvl w:val="0"/>
          <w:numId w:val="1"/>
        </w:numPr>
        <w:spacing w:line="360" w:lineRule="auto"/>
        <w:rPr>
          <w:rFonts w:hint="eastAsia"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主要用途与要求</w:t>
      </w:r>
    </w:p>
    <w:p w14:paraId="30F75459">
      <w:pPr>
        <w:pStyle w:val="9"/>
        <w:spacing w:before="0" w:beforeAutospacing="0" w:after="0" w:afterAutospacing="0" w:line="360" w:lineRule="auto"/>
        <w:ind w:left="360" w:firstLine="440" w:firstLineChars="200"/>
        <w:rPr>
          <w:rFonts w:hint="eastAsia"/>
          <w:sz w:val="21"/>
          <w:szCs w:val="21"/>
        </w:rPr>
      </w:pPr>
      <w:r>
        <w:rPr>
          <w:rFonts w:hint="eastAsia"/>
          <w:sz w:val="22"/>
          <w:szCs w:val="22"/>
        </w:rPr>
        <w:t>用于免疫学、干细胞，遗传学等研究。对细胞表面、内部分子包括抗原、核酸等进行检测与分析，可用于分析蛋白表达、免疫分型、细胞凋亡、周期、增殖、细胞毒性、蛋白磷酸化、荧光蛋白、胞内活性氧水平、细胞膜电位、细胞内钙离子浓度等检测，需要多通道染色。</w:t>
      </w:r>
    </w:p>
    <w:p w14:paraId="286B8557">
      <w:pPr>
        <w:numPr>
          <w:ilvl w:val="0"/>
          <w:numId w:val="1"/>
        </w:numPr>
        <w:spacing w:line="360" w:lineRule="auto"/>
        <w:rPr>
          <w:rFonts w:hint="eastAsia"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主机系统</w:t>
      </w:r>
    </w:p>
    <w:p w14:paraId="3C6E6152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激光器：≥</w:t>
      </w:r>
      <w:r>
        <w:rPr>
          <w:rFonts w:ascii="宋体" w:hAnsi="宋体" w:cs="Arial"/>
          <w:sz w:val="24"/>
          <w:szCs w:val="24"/>
        </w:rPr>
        <w:t xml:space="preserve">20mW </w:t>
      </w:r>
      <w:r>
        <w:rPr>
          <w:rFonts w:hint="eastAsia" w:ascii="宋体" w:hAnsi="宋体" w:cs="Arial"/>
          <w:sz w:val="24"/>
          <w:szCs w:val="24"/>
          <w:lang w:eastAsia="zh-CN"/>
        </w:rPr>
        <w:t>，</w:t>
      </w:r>
      <w:r>
        <w:rPr>
          <w:rFonts w:hint="eastAsia" w:ascii="宋体" w:hAnsi="宋体" w:cs="Arial"/>
          <w:sz w:val="24"/>
          <w:szCs w:val="24"/>
        </w:rPr>
        <w:t>≥</w:t>
      </w:r>
      <w:r>
        <w:rPr>
          <w:rFonts w:ascii="宋体" w:hAnsi="宋体" w:cs="Arial"/>
          <w:sz w:val="24"/>
          <w:szCs w:val="24"/>
        </w:rPr>
        <w:t>488nm蓝色</w:t>
      </w:r>
      <w:r>
        <w:rPr>
          <w:rFonts w:hint="eastAsia" w:ascii="宋体" w:hAnsi="宋体" w:cs="Arial"/>
          <w:sz w:val="24"/>
          <w:szCs w:val="24"/>
        </w:rPr>
        <w:t>全</w:t>
      </w:r>
      <w:r>
        <w:rPr>
          <w:rFonts w:ascii="宋体" w:hAnsi="宋体" w:cs="Arial"/>
          <w:sz w:val="24"/>
          <w:szCs w:val="24"/>
        </w:rPr>
        <w:t>固</w:t>
      </w:r>
      <w:r>
        <w:rPr>
          <w:rFonts w:hint="eastAsia" w:ascii="宋体" w:hAnsi="宋体" w:cs="Arial"/>
          <w:sz w:val="24"/>
          <w:szCs w:val="24"/>
        </w:rPr>
        <w:t>态</w:t>
      </w:r>
      <w:r>
        <w:rPr>
          <w:rFonts w:ascii="宋体" w:hAnsi="宋体" w:cs="Arial"/>
          <w:sz w:val="24"/>
          <w:szCs w:val="24"/>
        </w:rPr>
        <w:t>激光器</w:t>
      </w:r>
      <w:r>
        <w:rPr>
          <w:rFonts w:hint="eastAsia" w:ascii="宋体" w:hAnsi="宋体" w:cs="Arial"/>
          <w:sz w:val="24"/>
          <w:szCs w:val="24"/>
          <w:lang w:eastAsia="zh-CN"/>
        </w:rPr>
        <w:t>；</w:t>
      </w:r>
      <w:r>
        <w:rPr>
          <w:rFonts w:hint="eastAsia" w:ascii="宋体" w:hAnsi="宋体" w:cs="Arial"/>
          <w:sz w:val="24"/>
          <w:szCs w:val="24"/>
        </w:rPr>
        <w:t xml:space="preserve"> ≥40</w:t>
      </w:r>
      <w:r>
        <w:rPr>
          <w:rFonts w:ascii="宋体" w:hAnsi="宋体" w:cs="Arial"/>
          <w:sz w:val="24"/>
          <w:szCs w:val="24"/>
        </w:rPr>
        <w:t>mW</w:t>
      </w:r>
      <w:r>
        <w:rPr>
          <w:rFonts w:hint="eastAsia" w:ascii="宋体" w:hAnsi="宋体" w:cs="Arial"/>
          <w:sz w:val="24"/>
          <w:szCs w:val="24"/>
          <w:lang w:eastAsia="zh-CN"/>
        </w:rPr>
        <w:t>，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≥</w:t>
      </w:r>
      <w:r>
        <w:rPr>
          <w:rFonts w:ascii="宋体" w:hAnsi="宋体" w:cs="Arial"/>
          <w:sz w:val="24"/>
          <w:szCs w:val="24"/>
        </w:rPr>
        <w:t>6</w:t>
      </w:r>
      <w:r>
        <w:rPr>
          <w:rFonts w:hint="eastAsia" w:ascii="宋体" w:hAnsi="宋体" w:cs="Arial"/>
          <w:sz w:val="24"/>
          <w:szCs w:val="24"/>
        </w:rPr>
        <w:t>40</w:t>
      </w:r>
      <w:r>
        <w:rPr>
          <w:rFonts w:ascii="宋体" w:hAnsi="宋体" w:cs="Arial"/>
          <w:sz w:val="24"/>
          <w:szCs w:val="24"/>
        </w:rPr>
        <w:t>nm</w:t>
      </w:r>
      <w:r>
        <w:rPr>
          <w:rFonts w:hint="eastAsia" w:ascii="宋体" w:hAnsi="宋体" w:cs="Arial"/>
          <w:sz w:val="24"/>
          <w:szCs w:val="24"/>
        </w:rPr>
        <w:t>红色全固态激光器</w:t>
      </w:r>
      <w:r>
        <w:rPr>
          <w:rFonts w:hint="eastAsia" w:ascii="宋体" w:hAnsi="宋体" w:cs="Arial"/>
          <w:sz w:val="24"/>
          <w:szCs w:val="24"/>
          <w:lang w:eastAsia="zh-CN"/>
        </w:rPr>
        <w:t>。</w:t>
      </w:r>
      <w:r>
        <w:rPr>
          <w:rFonts w:hint="eastAsia" w:ascii="宋体" w:hAnsi="宋体" w:cs="Arial"/>
          <w:sz w:val="24"/>
          <w:szCs w:val="24"/>
        </w:rPr>
        <w:t>为避免温度变化带来的能量波动和激光光斑漂移，同时延长使用寿命，激光器须自带半导体温控（TEC）模块，可对激光器进行精确加热和降温</w:t>
      </w:r>
    </w:p>
    <w:p w14:paraId="33AAB2DE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激光</w:t>
      </w:r>
      <w:r>
        <w:rPr>
          <w:rFonts w:hint="eastAsia" w:ascii="宋体" w:hAnsi="宋体"/>
          <w:sz w:val="24"/>
        </w:rPr>
        <w:t>激发方式：立体空间激发</w:t>
      </w:r>
    </w:p>
    <w:p w14:paraId="368ECA88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荧光检测器：为保证检测结果稳定性，采用传统数字化光电倍增管</w:t>
      </w:r>
    </w:p>
    <w:p w14:paraId="60034A84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光路传导：为避免光纤传输带来的光量子耦合损失，确保荧光收集效率和提高灵敏度，</w:t>
      </w:r>
      <w:r>
        <w:rPr>
          <w:rFonts w:hint="eastAsia" w:ascii="宋体" w:hAnsi="宋体"/>
          <w:sz w:val="24"/>
        </w:rPr>
        <w:t>激光传递和荧光传导采用空气传导，非光纤传导</w:t>
      </w:r>
    </w:p>
    <w:p w14:paraId="7C49EECB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/>
          <w:sz w:val="24"/>
        </w:rPr>
        <w:t>检测通道：</w:t>
      </w:r>
      <w:r>
        <w:rPr>
          <w:rFonts w:hint="eastAsia" w:ascii="宋体" w:hAnsi="宋体" w:cs="Arial"/>
          <w:sz w:val="24"/>
          <w:szCs w:val="24"/>
        </w:rPr>
        <w:t>≥六通道（FS</w:t>
      </w:r>
      <w:r>
        <w:rPr>
          <w:rFonts w:ascii="宋体" w:hAnsi="宋体" w:cs="Arial"/>
          <w:sz w:val="24"/>
          <w:szCs w:val="24"/>
        </w:rPr>
        <w:t>C</w:t>
      </w:r>
      <w:r>
        <w:rPr>
          <w:rFonts w:hint="eastAsia" w:ascii="宋体" w:hAnsi="宋体" w:cs="Arial"/>
          <w:sz w:val="24"/>
          <w:szCs w:val="24"/>
        </w:rPr>
        <w:t>，SSC， FL1，FL2，FL3，FL4），</w:t>
      </w:r>
    </w:p>
    <w:p w14:paraId="7A7E2669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检测参数：包括所有通道面积（A)，宽度（W），高度（H）以及时间，有效区分粘连细胞和单个细胞</w:t>
      </w:r>
    </w:p>
    <w:p w14:paraId="7FB64D16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散射光分辨率：F</w:t>
      </w:r>
      <w:r>
        <w:rPr>
          <w:rFonts w:ascii="宋体" w:hAnsi="宋体" w:cs="Arial"/>
          <w:sz w:val="24"/>
          <w:szCs w:val="24"/>
        </w:rPr>
        <w:t>SC</w:t>
      </w:r>
      <w:r>
        <w:rPr>
          <w:rFonts w:hint="eastAsia" w:ascii="宋体" w:hAnsi="宋体" w:cs="Arial"/>
          <w:sz w:val="24"/>
          <w:szCs w:val="24"/>
        </w:rPr>
        <w:t>：≤0.5um; S</w:t>
      </w:r>
      <w:r>
        <w:rPr>
          <w:rFonts w:ascii="宋体" w:hAnsi="宋体" w:cs="Arial"/>
          <w:sz w:val="24"/>
          <w:szCs w:val="24"/>
        </w:rPr>
        <w:t>SC</w:t>
      </w:r>
      <w:r>
        <w:rPr>
          <w:rFonts w:hint="eastAsia" w:ascii="宋体" w:hAnsi="宋体" w:cs="Arial"/>
          <w:sz w:val="24"/>
          <w:szCs w:val="24"/>
        </w:rPr>
        <w:t>：≤0.2um</w:t>
      </w:r>
    </w:p>
    <w:p w14:paraId="05B70FA3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检测颗粒直径：0.2～50μm</w:t>
      </w:r>
    </w:p>
    <w:p w14:paraId="3F4D172D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荧光灵敏度: FITC≤1</w:t>
      </w:r>
      <w:r>
        <w:rPr>
          <w:rFonts w:ascii="宋体" w:hAnsi="宋体" w:cs="Arial"/>
          <w:sz w:val="24"/>
          <w:szCs w:val="24"/>
        </w:rPr>
        <w:t>0</w:t>
      </w:r>
      <w:r>
        <w:rPr>
          <w:rFonts w:hint="eastAsia" w:ascii="宋体" w:hAnsi="宋体" w:cs="Arial"/>
          <w:sz w:val="24"/>
          <w:szCs w:val="24"/>
        </w:rPr>
        <w:t>MESF;PE≤10MESF（要求提供第三方检测报告）</w:t>
      </w:r>
    </w:p>
    <w:p w14:paraId="12B0DB7A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获取速率：≥35，000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>events/s</w:t>
      </w:r>
    </w:p>
    <w:p w14:paraId="5EA3DFB5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交叉污染：≤0.1%</w:t>
      </w:r>
    </w:p>
    <w:p w14:paraId="086F4028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全峰宽变异系数：CV≤2%</w:t>
      </w:r>
    </w:p>
    <w:p w14:paraId="61B68815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绝对计数：标配无需微球绝对计数功能，精度误差在±5%</w:t>
      </w:r>
      <w:r>
        <w:rPr>
          <w:rFonts w:ascii="宋体" w:hAnsi="宋体" w:cs="Arial"/>
          <w:sz w:val="24"/>
          <w:szCs w:val="24"/>
        </w:rPr>
        <w:t xml:space="preserve"> 以内</w:t>
      </w:r>
      <w:r>
        <w:rPr>
          <w:rFonts w:hint="eastAsia" w:ascii="宋体" w:hAnsi="宋体" w:cs="Arial"/>
          <w:sz w:val="24"/>
          <w:szCs w:val="24"/>
        </w:rPr>
        <w:t>（要求提供第三方检测报告）</w:t>
      </w:r>
    </w:p>
    <w:p w14:paraId="1B390570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信号处理：24位动态范围（≥10</w:t>
      </w:r>
      <w:r>
        <w:rPr>
          <w:rFonts w:hint="eastAsia" w:ascii="宋体" w:hAnsi="宋体" w:cs="Arial"/>
          <w:sz w:val="36"/>
          <w:szCs w:val="36"/>
          <w:vertAlign w:val="superscript"/>
          <w:lang w:val="en-US"/>
        </w:rPr>
        <w:t>7.2</w:t>
      </w:r>
      <w:r>
        <w:rPr>
          <w:rFonts w:hint="eastAsia" w:ascii="宋体" w:hAnsi="宋体" w:cs="Arial"/>
          <w:sz w:val="24"/>
          <w:szCs w:val="24"/>
        </w:rPr>
        <w:t>动态范围），PMT支持免调电压和可调电压双重模式</w:t>
      </w:r>
    </w:p>
    <w:p w14:paraId="09B56EA1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荧光补偿：可在线和离线补偿，补偿方式为数字矩阵补偿、快速补偿、自动补偿</w:t>
      </w:r>
    </w:p>
    <w:p w14:paraId="2808309E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软件：标配中英文版本软件，具细胞周期自动拟合功能</w:t>
      </w:r>
    </w:p>
    <w:p w14:paraId="379F9F8A">
      <w:pPr>
        <w:pStyle w:val="6"/>
        <w:numPr>
          <w:ilvl w:val="1"/>
          <w:numId w:val="1"/>
        </w:numPr>
        <w:spacing w:line="360" w:lineRule="auto"/>
        <w:ind w:firstLineChars="0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进样检测的同时，支持分析数据：采集样本时，软件支持同时分析已经采集完成的样本。</w:t>
      </w:r>
    </w:p>
    <w:p w14:paraId="4E34CE76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质控：可以检测仪器各荧光通道的状态，生成Levey-Jennings图形文件，自动跟踪监测仪器性能</w:t>
      </w:r>
    </w:p>
    <w:p w14:paraId="65ED6EAB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液路设计：采用经典的鞘液聚焦，有效提高液流稳定性</w:t>
      </w:r>
    </w:p>
    <w:p w14:paraId="386D4896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</w:rPr>
        <w:t>液路动力：为防止管路堵塞，提供强液路压力，采用注射泵驱动，</w:t>
      </w:r>
      <w:r>
        <w:rPr>
          <w:rFonts w:hint="eastAsia" w:ascii="宋体" w:hAnsi="宋体" w:cs="Arial"/>
          <w:sz w:val="24"/>
          <w:szCs w:val="24"/>
        </w:rPr>
        <w:t>非蠕动泵驱动，同时无需定期更换管路耗材</w:t>
      </w:r>
    </w:p>
    <w:p w14:paraId="2283169A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样本流速：5-</w:t>
      </w:r>
      <w:r>
        <w:rPr>
          <w:rFonts w:ascii="宋体" w:hAnsi="宋体" w:cs="Arial"/>
          <w:sz w:val="24"/>
        </w:rPr>
        <w:t>120</w:t>
      </w:r>
      <w:r>
        <w:rPr>
          <w:rFonts w:hint="eastAsia" w:ascii="宋体" w:hAnsi="宋体" w:cs="Arial"/>
          <w:sz w:val="24"/>
        </w:rPr>
        <w:t>ul</w:t>
      </w:r>
      <w:r>
        <w:rPr>
          <w:rFonts w:ascii="宋体" w:hAnsi="宋体" w:cs="Arial"/>
          <w:sz w:val="24"/>
        </w:rPr>
        <w:t>/</w:t>
      </w:r>
      <w:r>
        <w:rPr>
          <w:rFonts w:hint="eastAsia" w:ascii="宋体" w:hAnsi="宋体" w:cs="Arial"/>
          <w:sz w:val="24"/>
        </w:rPr>
        <w:t>min，高中低三档可选，同时支持流速连续调节</w:t>
      </w:r>
    </w:p>
    <w:p w14:paraId="5A87BBA4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清洗维护：一键式开关机，全自动液路清洗维护，每个样本做完后机器支持自动清洗管路和进样针的内壁和外壁，全程无需人员参与。无需进行周清洗和月清洗</w:t>
      </w:r>
    </w:p>
    <w:p w14:paraId="3B0AA531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上样方式：兼容标准流式管、E</w:t>
      </w:r>
      <w:r>
        <w:rPr>
          <w:rFonts w:ascii="宋体" w:hAnsi="宋体" w:cs="Arial"/>
          <w:sz w:val="24"/>
        </w:rPr>
        <w:t>P</w:t>
      </w:r>
      <w:r>
        <w:rPr>
          <w:rFonts w:hint="eastAsia" w:ascii="宋体" w:hAnsi="宋体" w:cs="Arial"/>
          <w:sz w:val="24"/>
        </w:rPr>
        <w:t>管等上样</w:t>
      </w:r>
    </w:p>
    <w:p w14:paraId="75FF2F82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可插拨式滤光片，支持通道配置更改</w:t>
      </w:r>
    </w:p>
    <w:p w14:paraId="74CFE498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  <w:szCs w:val="24"/>
        </w:rPr>
        <w:t>自动加样器：可扩展连接自动加样器，兼容24管、4</w:t>
      </w:r>
      <w:r>
        <w:rPr>
          <w:rFonts w:ascii="宋体" w:hAnsi="宋体" w:cs="Arial"/>
          <w:sz w:val="24"/>
          <w:szCs w:val="24"/>
        </w:rPr>
        <w:t>0</w:t>
      </w:r>
      <w:r>
        <w:rPr>
          <w:rFonts w:hint="eastAsia" w:ascii="宋体" w:hAnsi="宋体" w:cs="Arial"/>
          <w:sz w:val="24"/>
          <w:szCs w:val="24"/>
        </w:rPr>
        <w:t>管标准流式管、2</w:t>
      </w:r>
      <w:r>
        <w:rPr>
          <w:rFonts w:ascii="宋体" w:hAnsi="宋体" w:cs="Arial"/>
          <w:sz w:val="24"/>
          <w:szCs w:val="24"/>
        </w:rPr>
        <w:t>4</w:t>
      </w:r>
      <w:r>
        <w:rPr>
          <w:rFonts w:hint="eastAsia" w:ascii="宋体" w:hAnsi="宋体" w:cs="Arial"/>
          <w:sz w:val="24"/>
          <w:szCs w:val="24"/>
        </w:rPr>
        <w:t>孔板、4</w:t>
      </w:r>
      <w:r>
        <w:rPr>
          <w:rFonts w:ascii="宋体" w:hAnsi="宋体" w:cs="Arial"/>
          <w:sz w:val="24"/>
          <w:szCs w:val="24"/>
        </w:rPr>
        <w:t>8孔板</w:t>
      </w:r>
      <w:r>
        <w:rPr>
          <w:rFonts w:hint="eastAsia" w:ascii="宋体" w:hAnsi="宋体" w:cs="Arial"/>
          <w:sz w:val="24"/>
          <w:szCs w:val="24"/>
        </w:rPr>
        <w:t>、96孔板</w:t>
      </w:r>
      <w:r>
        <w:rPr>
          <w:rFonts w:hint="eastAsia" w:ascii="宋体" w:hAnsi="宋体" w:cs="Arial"/>
          <w:sz w:val="24"/>
        </w:rPr>
        <w:t>上样，上样前自动混匀样本</w:t>
      </w:r>
    </w:p>
    <w:p w14:paraId="42ED3369">
      <w:pPr>
        <w:numPr>
          <w:ilvl w:val="1"/>
          <w:numId w:val="1"/>
        </w:numPr>
        <w:spacing w:line="360" w:lineRule="auto"/>
        <w:rPr>
          <w:rFonts w:hint="eastAsia" w:ascii="宋体" w:hAnsi="宋体" w:cs="Arial"/>
          <w:sz w:val="24"/>
        </w:rPr>
      </w:pPr>
      <w:r>
        <w:rPr>
          <w:rFonts w:hint="eastAsia" w:ascii="宋体" w:hAnsi="宋体" w:cs="Arial"/>
          <w:sz w:val="24"/>
          <w:szCs w:val="24"/>
        </w:rPr>
        <w:t>获得</w:t>
      </w:r>
      <w:r>
        <w:rPr>
          <w:rFonts w:ascii="宋体" w:hAnsi="宋体" w:cs="Arial"/>
          <w:sz w:val="24"/>
          <w:szCs w:val="24"/>
        </w:rPr>
        <w:t>CFDA</w:t>
      </w:r>
      <w:r>
        <w:rPr>
          <w:rFonts w:hint="eastAsia" w:ascii="宋体" w:hAnsi="宋体" w:cs="Arial"/>
          <w:sz w:val="24"/>
          <w:szCs w:val="24"/>
        </w:rPr>
        <w:t>医疗器械</w:t>
      </w:r>
      <w:r>
        <w:rPr>
          <w:rFonts w:ascii="宋体" w:hAnsi="宋体" w:cs="Arial"/>
          <w:sz w:val="24"/>
          <w:szCs w:val="24"/>
        </w:rPr>
        <w:t>许可证</w:t>
      </w:r>
    </w:p>
    <w:p w14:paraId="01175AEF">
      <w:pPr>
        <w:numPr>
          <w:ilvl w:val="0"/>
          <w:numId w:val="1"/>
        </w:numPr>
        <w:spacing w:line="360" w:lineRule="auto"/>
        <w:rPr>
          <w:rFonts w:hint="eastAsia"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工作站</w:t>
      </w:r>
    </w:p>
    <w:p w14:paraId="5E7B4816">
      <w:p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3</w:t>
      </w:r>
      <w:r>
        <w:rPr>
          <w:rFonts w:hint="eastAsia" w:ascii="宋体" w:hAnsi="宋体" w:cs="Arial"/>
          <w:sz w:val="24"/>
          <w:szCs w:val="24"/>
        </w:rPr>
        <w:t>.1</w:t>
      </w:r>
      <w:r>
        <w:rPr>
          <w:rFonts w:ascii="宋体" w:hAnsi="宋体" w:cs="Arial"/>
          <w:sz w:val="24"/>
          <w:szCs w:val="24"/>
        </w:rPr>
        <w:t>配套电脑：</w:t>
      </w:r>
      <w:r>
        <w:rPr>
          <w:rFonts w:hint="eastAsia" w:ascii="宋体" w:hAnsi="宋体" w:cs="Arial"/>
          <w:sz w:val="24"/>
          <w:szCs w:val="24"/>
        </w:rPr>
        <w:t>品牌电脑</w:t>
      </w:r>
      <w:r>
        <w:rPr>
          <w:rFonts w:ascii="宋体" w:hAnsi="宋体" w:cs="Arial"/>
          <w:sz w:val="24"/>
          <w:szCs w:val="24"/>
        </w:rPr>
        <w:t xml:space="preserve">, </w:t>
      </w:r>
      <w:r>
        <w:rPr>
          <w:rFonts w:hint="eastAsia" w:ascii="宋体" w:hAnsi="宋体" w:cs="Arial"/>
          <w:sz w:val="24"/>
          <w:szCs w:val="24"/>
        </w:rPr>
        <w:t>≥</w:t>
      </w:r>
      <w:r>
        <w:rPr>
          <w:rFonts w:ascii="宋体" w:hAnsi="宋体" w:cs="Arial"/>
          <w:sz w:val="24"/>
          <w:szCs w:val="24"/>
        </w:rPr>
        <w:t>23寸LED液晶</w:t>
      </w:r>
      <w:r>
        <w:rPr>
          <w:rFonts w:hint="eastAsia" w:ascii="宋体" w:hAnsi="宋体" w:cs="Arial"/>
          <w:sz w:val="24"/>
          <w:szCs w:val="24"/>
        </w:rPr>
        <w:t>显示器</w:t>
      </w:r>
    </w:p>
    <w:p w14:paraId="2E5684D0">
      <w:p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3</w:t>
      </w:r>
      <w:r>
        <w:rPr>
          <w:rFonts w:hint="eastAsia" w:ascii="宋体" w:hAnsi="宋体" w:cs="Arial"/>
          <w:sz w:val="24"/>
          <w:szCs w:val="24"/>
        </w:rPr>
        <w:t>.2操作系统：≥微软windows7</w:t>
      </w:r>
      <w:bookmarkStart w:id="0" w:name="_GoBack"/>
      <w:bookmarkEnd w:id="0"/>
    </w:p>
    <w:p w14:paraId="4DAB7C63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 w:cs="Arial"/>
          <w:sz w:val="24"/>
          <w:szCs w:val="24"/>
          <w:lang w:val="en-US" w:eastAsia="zh-CN"/>
        </w:rPr>
        <w:t>3</w:t>
      </w:r>
      <w:r>
        <w:rPr>
          <w:rFonts w:hint="eastAsia" w:ascii="宋体" w:hAnsi="宋体" w:cs="Arial"/>
          <w:sz w:val="24"/>
          <w:szCs w:val="24"/>
        </w:rPr>
        <w:t>.3软件：配套原装软件一套</w:t>
      </w:r>
      <w:r>
        <w:rPr>
          <w:rFonts w:ascii="宋体" w:hAnsi="宋体" w:cs="Arial"/>
          <w:sz w:val="24"/>
          <w:szCs w:val="24"/>
        </w:rPr>
        <w:t xml:space="preserve"> </w:t>
      </w:r>
    </w:p>
    <w:p w14:paraId="428F0FDD">
      <w:pPr>
        <w:numPr>
          <w:numId w:val="0"/>
        </w:numPr>
        <w:spacing w:line="360" w:lineRule="auto"/>
        <w:rPr>
          <w:rFonts w:ascii="Agilent TT Cond" w:hAnsi="Agilent TT Cond"/>
          <w:b/>
          <w:bCs/>
          <w:sz w:val="21"/>
          <w:szCs w:val="21"/>
          <w:lang w:val="en-US"/>
        </w:rPr>
      </w:pPr>
    </w:p>
    <w:sectPr>
      <w:footerReference r:id="rId3" w:type="default"/>
      <w:pgSz w:w="11906" w:h="16838"/>
      <w:pgMar w:top="1440" w:right="1247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gilent TT Cond">
    <w:altName w:val="Calibri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06C9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3B034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3B034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E"/>
    <w:multiLevelType w:val="multilevel"/>
    <w:tmpl w:val="0000000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entative="0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88"/>
    <w:rsid w:val="00004228"/>
    <w:rsid w:val="00007D89"/>
    <w:rsid w:val="00012745"/>
    <w:rsid w:val="00025AF0"/>
    <w:rsid w:val="0002601F"/>
    <w:rsid w:val="000355AC"/>
    <w:rsid w:val="00050490"/>
    <w:rsid w:val="00050599"/>
    <w:rsid w:val="000718E3"/>
    <w:rsid w:val="00077C63"/>
    <w:rsid w:val="00087E07"/>
    <w:rsid w:val="000A5379"/>
    <w:rsid w:val="000C7804"/>
    <w:rsid w:val="000E7AE3"/>
    <w:rsid w:val="00120E9B"/>
    <w:rsid w:val="00121C68"/>
    <w:rsid w:val="0013342A"/>
    <w:rsid w:val="0014069C"/>
    <w:rsid w:val="00151378"/>
    <w:rsid w:val="00160E7F"/>
    <w:rsid w:val="00162E14"/>
    <w:rsid w:val="001A3529"/>
    <w:rsid w:val="001A4849"/>
    <w:rsid w:val="001A52DD"/>
    <w:rsid w:val="001C0A06"/>
    <w:rsid w:val="002072DB"/>
    <w:rsid w:val="00242B21"/>
    <w:rsid w:val="00246278"/>
    <w:rsid w:val="00247017"/>
    <w:rsid w:val="00250738"/>
    <w:rsid w:val="002D2248"/>
    <w:rsid w:val="002E0E32"/>
    <w:rsid w:val="00307C9B"/>
    <w:rsid w:val="00325661"/>
    <w:rsid w:val="003342F6"/>
    <w:rsid w:val="0035405C"/>
    <w:rsid w:val="003608E0"/>
    <w:rsid w:val="00367067"/>
    <w:rsid w:val="00381CAC"/>
    <w:rsid w:val="003874B5"/>
    <w:rsid w:val="00396EBF"/>
    <w:rsid w:val="003A0FBF"/>
    <w:rsid w:val="003A1A9C"/>
    <w:rsid w:val="003B7975"/>
    <w:rsid w:val="003C5B8A"/>
    <w:rsid w:val="003D4888"/>
    <w:rsid w:val="003F2623"/>
    <w:rsid w:val="00404C0B"/>
    <w:rsid w:val="00405177"/>
    <w:rsid w:val="0041091D"/>
    <w:rsid w:val="004430B1"/>
    <w:rsid w:val="00490C91"/>
    <w:rsid w:val="00492F74"/>
    <w:rsid w:val="00496242"/>
    <w:rsid w:val="004B7A65"/>
    <w:rsid w:val="004C02E1"/>
    <w:rsid w:val="004F5B63"/>
    <w:rsid w:val="00502584"/>
    <w:rsid w:val="005042A6"/>
    <w:rsid w:val="005113DE"/>
    <w:rsid w:val="00515648"/>
    <w:rsid w:val="005302B7"/>
    <w:rsid w:val="00530CF9"/>
    <w:rsid w:val="00534D7B"/>
    <w:rsid w:val="0054369A"/>
    <w:rsid w:val="00545542"/>
    <w:rsid w:val="0054654D"/>
    <w:rsid w:val="00555F9F"/>
    <w:rsid w:val="00565DC3"/>
    <w:rsid w:val="00580115"/>
    <w:rsid w:val="005908D2"/>
    <w:rsid w:val="00596B06"/>
    <w:rsid w:val="005A5D56"/>
    <w:rsid w:val="005C3887"/>
    <w:rsid w:val="005D4C39"/>
    <w:rsid w:val="005E0BCC"/>
    <w:rsid w:val="005F22ED"/>
    <w:rsid w:val="00620B53"/>
    <w:rsid w:val="006213DB"/>
    <w:rsid w:val="0062425C"/>
    <w:rsid w:val="00637CFD"/>
    <w:rsid w:val="006567BD"/>
    <w:rsid w:val="00684A5D"/>
    <w:rsid w:val="00685434"/>
    <w:rsid w:val="006B4A1A"/>
    <w:rsid w:val="006B6042"/>
    <w:rsid w:val="006B69F4"/>
    <w:rsid w:val="006C54C9"/>
    <w:rsid w:val="006C58F3"/>
    <w:rsid w:val="006D438B"/>
    <w:rsid w:val="006D6F30"/>
    <w:rsid w:val="006F3789"/>
    <w:rsid w:val="006F3DC5"/>
    <w:rsid w:val="007175B4"/>
    <w:rsid w:val="00740BEF"/>
    <w:rsid w:val="00744F5A"/>
    <w:rsid w:val="00747788"/>
    <w:rsid w:val="0078114B"/>
    <w:rsid w:val="007950F2"/>
    <w:rsid w:val="007C6364"/>
    <w:rsid w:val="007D18DE"/>
    <w:rsid w:val="007E1226"/>
    <w:rsid w:val="007E6EC3"/>
    <w:rsid w:val="007F5203"/>
    <w:rsid w:val="00805E47"/>
    <w:rsid w:val="00830305"/>
    <w:rsid w:val="00842888"/>
    <w:rsid w:val="00897972"/>
    <w:rsid w:val="008A1F17"/>
    <w:rsid w:val="008B230D"/>
    <w:rsid w:val="008B756B"/>
    <w:rsid w:val="008F199E"/>
    <w:rsid w:val="008F4973"/>
    <w:rsid w:val="00907730"/>
    <w:rsid w:val="009104EB"/>
    <w:rsid w:val="00924948"/>
    <w:rsid w:val="00927975"/>
    <w:rsid w:val="00932AE1"/>
    <w:rsid w:val="00942198"/>
    <w:rsid w:val="009435DD"/>
    <w:rsid w:val="009821D3"/>
    <w:rsid w:val="009B5609"/>
    <w:rsid w:val="009D162F"/>
    <w:rsid w:val="009E45BB"/>
    <w:rsid w:val="009F7F62"/>
    <w:rsid w:val="00A01102"/>
    <w:rsid w:val="00A14F1B"/>
    <w:rsid w:val="00A24630"/>
    <w:rsid w:val="00A57247"/>
    <w:rsid w:val="00A65934"/>
    <w:rsid w:val="00A66350"/>
    <w:rsid w:val="00A81EAE"/>
    <w:rsid w:val="00AA0539"/>
    <w:rsid w:val="00AC30B0"/>
    <w:rsid w:val="00AE079F"/>
    <w:rsid w:val="00AF0C4C"/>
    <w:rsid w:val="00B001D5"/>
    <w:rsid w:val="00B03B4D"/>
    <w:rsid w:val="00B26192"/>
    <w:rsid w:val="00B32AD9"/>
    <w:rsid w:val="00B57C50"/>
    <w:rsid w:val="00B61F77"/>
    <w:rsid w:val="00B67066"/>
    <w:rsid w:val="00B937DE"/>
    <w:rsid w:val="00BA5BC4"/>
    <w:rsid w:val="00BC5344"/>
    <w:rsid w:val="00BE3078"/>
    <w:rsid w:val="00BF0F87"/>
    <w:rsid w:val="00C0784A"/>
    <w:rsid w:val="00C35706"/>
    <w:rsid w:val="00C37DC7"/>
    <w:rsid w:val="00C722F3"/>
    <w:rsid w:val="00C81360"/>
    <w:rsid w:val="00C97AA1"/>
    <w:rsid w:val="00CA3929"/>
    <w:rsid w:val="00CC3BD6"/>
    <w:rsid w:val="00D2233A"/>
    <w:rsid w:val="00D32DAE"/>
    <w:rsid w:val="00D51E05"/>
    <w:rsid w:val="00D651F4"/>
    <w:rsid w:val="00D92264"/>
    <w:rsid w:val="00DB0DEA"/>
    <w:rsid w:val="00DB7458"/>
    <w:rsid w:val="00DE1D5C"/>
    <w:rsid w:val="00DF552B"/>
    <w:rsid w:val="00DF5A38"/>
    <w:rsid w:val="00E11131"/>
    <w:rsid w:val="00E128E8"/>
    <w:rsid w:val="00E321CF"/>
    <w:rsid w:val="00E41F51"/>
    <w:rsid w:val="00E4278C"/>
    <w:rsid w:val="00E70F80"/>
    <w:rsid w:val="00E9441D"/>
    <w:rsid w:val="00E9688E"/>
    <w:rsid w:val="00EA3D79"/>
    <w:rsid w:val="00EB3E75"/>
    <w:rsid w:val="00EB6FB0"/>
    <w:rsid w:val="00EE46CE"/>
    <w:rsid w:val="00EF4F21"/>
    <w:rsid w:val="00EF58EB"/>
    <w:rsid w:val="00F025F2"/>
    <w:rsid w:val="00F11A8E"/>
    <w:rsid w:val="00F25FF5"/>
    <w:rsid w:val="00F32B6A"/>
    <w:rsid w:val="00F353FC"/>
    <w:rsid w:val="00F36792"/>
    <w:rsid w:val="00F3753D"/>
    <w:rsid w:val="00F50E95"/>
    <w:rsid w:val="00F54C3B"/>
    <w:rsid w:val="00F56061"/>
    <w:rsid w:val="00FC05C2"/>
    <w:rsid w:val="00FE4001"/>
    <w:rsid w:val="00FE7B7F"/>
    <w:rsid w:val="00FF0053"/>
    <w:rsid w:val="0C343446"/>
    <w:rsid w:val="0EF614FB"/>
    <w:rsid w:val="205F2966"/>
    <w:rsid w:val="29ED57C2"/>
    <w:rsid w:val="2CB90C8F"/>
    <w:rsid w:val="309B65D4"/>
    <w:rsid w:val="338B37FE"/>
    <w:rsid w:val="475F2C88"/>
    <w:rsid w:val="67847DB6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AU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  <w:lang w:val="en-AU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  <w:lang w:val="en-AU"/>
    </w:rPr>
  </w:style>
  <w:style w:type="paragraph" w:customStyle="1" w:styleId="9">
    <w:name w:val="x_msonormal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1471</Words>
  <Characters>1752</Characters>
  <Lines>47</Lines>
  <Paragraphs>64</Paragraphs>
  <TotalTime>4</TotalTime>
  <ScaleCrop>false</ScaleCrop>
  <LinksUpToDate>false</LinksUpToDate>
  <CharactersWithSpaces>1804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2025-05-23T02:45:00Z</dcterms:created>
  <dc:creator>Jason Huang</dc:creator>
  <cp:lastModifiedBy>Administrator</cp:lastModifiedBy>
  <dcterms:modified xsi:type="dcterms:W3CDTF">2025-06-10T00:35:51Z</dcterms:modified>
  <dc:title>流式细胞仪安捷伦NovoCyte D2060R参数（2激光4色）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805E0AAA19E547488FCA022991CF2D9D_13</vt:lpwstr>
  </property>
  <property fmtid="{D5CDD505-2E9C-101B-9397-08002B2CF9AE}" pid="4" name="KSOTemplateDocerSaveRecord">
    <vt:lpwstr>eyJoZGlkIjoiNmRlNDMyNGFhN2ViNjk4YTgwMWExNjgyY2ZkMjg0YTQifQ==</vt:lpwstr>
  </property>
</Properties>
</file>