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E9A92">
      <w:pPr>
        <w:pStyle w:val="5"/>
        <w:widowControl/>
        <w:shd w:val="clear" w:color="auto" w:fill="FFFFFF"/>
        <w:spacing w:line="600" w:lineRule="exact"/>
        <w:jc w:val="center"/>
        <w:rPr>
          <w:rFonts w:ascii="方正小标宋简体" w:hAnsi="仿宋" w:eastAsia="方正小标宋简体"/>
          <w:sz w:val="40"/>
          <w:szCs w:val="44"/>
          <w:shd w:val="clear" w:color="auto" w:fill="FFFFFF"/>
        </w:rPr>
      </w:pPr>
      <w:bookmarkStart w:id="1" w:name="_GoBack"/>
      <w:bookmarkStart w:id="0" w:name="OLE_LINK5"/>
      <w:r>
        <w:rPr>
          <w:rFonts w:hint="eastAsia" w:ascii="方正小标宋简体" w:hAnsi="仿宋" w:eastAsia="方正小标宋简体"/>
          <w:sz w:val="40"/>
          <w:szCs w:val="44"/>
          <w:shd w:val="clear" w:color="auto" w:fill="FFFFFF"/>
        </w:rPr>
        <w:t>郁南县南江河莲塘河段河砂可采区开采权第二次挂牌出让交易须知</w:t>
      </w:r>
      <w:bookmarkEnd w:id="0"/>
    </w:p>
    <w:bookmarkEnd w:id="1"/>
    <w:p w14:paraId="5EC8479E">
      <w:pPr>
        <w:pStyle w:val="5"/>
        <w:widowControl/>
        <w:shd w:val="clear" w:color="auto" w:fill="FFFFFF"/>
        <w:spacing w:line="600" w:lineRule="exact"/>
        <w:jc w:val="both"/>
        <w:rPr>
          <w:rFonts w:ascii="仿宋" w:hAnsi="仿宋" w:eastAsia="仿宋"/>
          <w:b/>
          <w:sz w:val="32"/>
          <w:szCs w:val="32"/>
          <w:shd w:val="clear" w:color="auto" w:fill="FFFFFF"/>
        </w:rPr>
      </w:pPr>
    </w:p>
    <w:p w14:paraId="63C2E1FD">
      <w:pPr>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根据《中华人民共和国矿产资源法》和《广东省河道采砂管理条例》等有关法律法规的规定以及《郁南县南江河莲塘河段河砂可采区开采权第二次挂牌出让交易规则》，云浮市公共资源交易中心郁南分中心受郁南县水务局委托以挂牌出让方式公开交易</w:t>
      </w:r>
      <w:r>
        <w:rPr>
          <w:rFonts w:hint="eastAsia" w:ascii="仿宋" w:hAnsi="仿宋" w:eastAsia="仿宋" w:cs="仿宋"/>
          <w:sz w:val="32"/>
          <w:szCs w:val="32"/>
          <w:u w:val="single"/>
        </w:rPr>
        <w:t>郁南县南江河</w:t>
      </w:r>
      <w:r>
        <w:rPr>
          <w:rFonts w:hint="eastAsia" w:ascii="仿宋" w:hAnsi="仿宋" w:eastAsia="仿宋" w:cs="仿宋_GB2312"/>
          <w:sz w:val="32"/>
          <w:szCs w:val="32"/>
          <w:u w:val="single"/>
        </w:rPr>
        <w:t>莲塘河段</w:t>
      </w:r>
      <w:r>
        <w:rPr>
          <w:rFonts w:hint="eastAsia" w:ascii="仿宋" w:hAnsi="仿宋" w:eastAsia="仿宋" w:cs="仿宋"/>
          <w:sz w:val="32"/>
          <w:szCs w:val="32"/>
          <w:u w:val="single"/>
        </w:rPr>
        <w:t>河砂可采区开采权</w:t>
      </w:r>
      <w:r>
        <w:rPr>
          <w:rFonts w:hint="eastAsia" w:ascii="仿宋" w:hAnsi="仿宋" w:eastAsia="仿宋" w:cs="仿宋"/>
          <w:sz w:val="32"/>
          <w:szCs w:val="32"/>
        </w:rPr>
        <w:t>，现就挂牌事宜作以下规定：</w:t>
      </w:r>
    </w:p>
    <w:p w14:paraId="770BACCD">
      <w:pPr>
        <w:adjustRightIn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bCs/>
          <w:sz w:val="32"/>
          <w:szCs w:val="32"/>
        </w:rPr>
        <w:t>本次挂牌出让的河砂开采权是指</w:t>
      </w:r>
      <w:r>
        <w:rPr>
          <w:rFonts w:hint="eastAsia" w:ascii="仿宋" w:hAnsi="仿宋" w:eastAsia="仿宋" w:cs="仿宋"/>
          <w:sz w:val="32"/>
          <w:szCs w:val="32"/>
          <w:u w:val="single"/>
        </w:rPr>
        <w:t>郁南县南江河</w:t>
      </w:r>
      <w:r>
        <w:rPr>
          <w:rFonts w:hint="eastAsia" w:ascii="仿宋" w:hAnsi="仿宋" w:eastAsia="仿宋" w:cs="仿宋_GB2312"/>
          <w:sz w:val="32"/>
          <w:szCs w:val="32"/>
          <w:u w:val="single"/>
        </w:rPr>
        <w:t>莲塘河段</w:t>
      </w:r>
      <w:r>
        <w:rPr>
          <w:rFonts w:hint="eastAsia" w:ascii="仿宋" w:hAnsi="仿宋" w:eastAsia="仿宋" w:cs="仿宋"/>
          <w:sz w:val="32"/>
          <w:szCs w:val="32"/>
          <w:u w:val="single"/>
        </w:rPr>
        <w:t>河砂可采区开采权</w:t>
      </w:r>
      <w:r>
        <w:rPr>
          <w:rFonts w:hint="eastAsia" w:ascii="仿宋" w:hAnsi="仿宋" w:eastAsia="仿宋" w:cs="仿宋"/>
          <w:bCs/>
          <w:sz w:val="32"/>
          <w:szCs w:val="32"/>
        </w:rPr>
        <w:t>。</w:t>
      </w:r>
      <w:r>
        <w:rPr>
          <w:rFonts w:hint="eastAsia" w:ascii="仿宋" w:hAnsi="仿宋" w:eastAsia="仿宋" w:cs="仿宋"/>
          <w:sz w:val="32"/>
          <w:szCs w:val="32"/>
        </w:rPr>
        <w:t>在云浮市公共资源交易中心郁南分中心挂牌,在云浮市公共资源交易服务平台、广东省公共资源交易平台和郁南县人民政府网站公开发布河砂开采权挂牌出让公告,公告的时间以云浮市公共资源交易服务平台发布的为准。</w:t>
      </w:r>
    </w:p>
    <w:p w14:paraId="432B38F6">
      <w:pPr>
        <w:pStyle w:val="5"/>
        <w:shd w:val="clear" w:color="auto" w:fill="FFFFFF"/>
        <w:ind w:firstLine="640"/>
        <w:jc w:val="both"/>
        <w:rPr>
          <w:rFonts w:ascii="仿宋" w:hAnsi="仿宋" w:eastAsia="仿宋" w:cs="仿宋"/>
          <w:sz w:val="32"/>
          <w:szCs w:val="32"/>
        </w:rPr>
      </w:pPr>
      <w:r>
        <w:rPr>
          <w:rFonts w:hint="eastAsia" w:ascii="仿宋" w:hAnsi="仿宋" w:eastAsia="仿宋" w:cs="仿宋"/>
          <w:sz w:val="32"/>
          <w:szCs w:val="32"/>
        </w:rPr>
        <w:t>二、标的基本情况</w:t>
      </w:r>
    </w:p>
    <w:p w14:paraId="7BE499E3">
      <w:pPr>
        <w:pStyle w:val="5"/>
        <w:shd w:val="clear" w:color="auto" w:fill="FFFFFF"/>
        <w:spacing w:line="360" w:lineRule="auto"/>
        <w:ind w:firstLine="640"/>
        <w:jc w:val="both"/>
        <w:rPr>
          <w:rFonts w:ascii="仿宋" w:hAnsi="仿宋" w:eastAsia="仿宋"/>
          <w:sz w:val="32"/>
          <w:szCs w:val="32"/>
        </w:rPr>
      </w:pPr>
      <w:r>
        <w:rPr>
          <w:rFonts w:hint="eastAsia" w:ascii="仿宋" w:hAnsi="仿宋" w:eastAsia="仿宋"/>
          <w:sz w:val="32"/>
          <w:szCs w:val="32"/>
        </w:rPr>
        <w:t>标的物挂牌编号:</w:t>
      </w:r>
      <w:r>
        <w:rPr>
          <w:rFonts w:hint="eastAsia" w:ascii="仿宋" w:hAnsi="仿宋" w:eastAsia="仿宋"/>
          <w:sz w:val="32"/>
          <w:szCs w:val="32"/>
          <w:u w:val="single"/>
        </w:rPr>
        <w:t>郁河砂挂〔202</w:t>
      </w:r>
      <w:r>
        <w:rPr>
          <w:rFonts w:ascii="仿宋" w:hAnsi="仿宋" w:eastAsia="仿宋"/>
          <w:sz w:val="32"/>
          <w:szCs w:val="32"/>
          <w:u w:val="single"/>
        </w:rPr>
        <w:t>5</w:t>
      </w:r>
      <w:r>
        <w:rPr>
          <w:rFonts w:hint="eastAsia" w:ascii="仿宋" w:hAnsi="仿宋" w:eastAsia="仿宋"/>
          <w:sz w:val="32"/>
          <w:szCs w:val="32"/>
          <w:u w:val="single"/>
        </w:rPr>
        <w:t>〕00</w:t>
      </w:r>
      <w:r>
        <w:rPr>
          <w:rFonts w:ascii="仿宋" w:hAnsi="仿宋" w:eastAsia="仿宋"/>
          <w:sz w:val="32"/>
          <w:szCs w:val="32"/>
          <w:u w:val="single"/>
        </w:rPr>
        <w:t>1</w:t>
      </w:r>
      <w:r>
        <w:rPr>
          <w:rFonts w:hint="eastAsia" w:ascii="仿宋" w:hAnsi="仿宋" w:eastAsia="仿宋"/>
          <w:sz w:val="32"/>
          <w:szCs w:val="32"/>
          <w:u w:val="single"/>
        </w:rPr>
        <w:t>号</w:t>
      </w:r>
      <w:r>
        <w:rPr>
          <w:rFonts w:hint="eastAsia" w:ascii="仿宋" w:hAnsi="仿宋" w:eastAsia="仿宋"/>
          <w:sz w:val="32"/>
          <w:szCs w:val="32"/>
        </w:rPr>
        <w:t>；标的名称：</w:t>
      </w:r>
      <w:r>
        <w:rPr>
          <w:rFonts w:hint="eastAsia" w:ascii="仿宋" w:hAnsi="仿宋" w:eastAsia="仿宋"/>
          <w:bCs/>
          <w:sz w:val="32"/>
          <w:szCs w:val="32"/>
          <w:u w:val="single"/>
        </w:rPr>
        <w:t>郁南县</w:t>
      </w:r>
      <w:r>
        <w:rPr>
          <w:rFonts w:hint="eastAsia" w:ascii="仿宋" w:hAnsi="仿宋" w:eastAsia="仿宋"/>
          <w:sz w:val="32"/>
          <w:szCs w:val="32"/>
          <w:u w:val="single"/>
        </w:rPr>
        <w:t>南江河莲塘河段河砂可采区开采权</w:t>
      </w:r>
      <w:r>
        <w:rPr>
          <w:rFonts w:hint="eastAsia" w:ascii="仿宋" w:hAnsi="仿宋" w:eastAsia="仿宋"/>
          <w:sz w:val="32"/>
          <w:szCs w:val="32"/>
        </w:rPr>
        <w:t>，位于南江口镇莲塘村至杉坪村对出的 1400 米南江河段（可采区控制点坐标详见挂牌交易须知）。</w:t>
      </w:r>
      <w:r>
        <w:rPr>
          <w:rFonts w:hint="eastAsia" w:ascii="仿宋_GB2312" w:hAnsi="仿宋_GB2312" w:eastAsia="仿宋_GB2312" w:cs="仿宋_GB2312"/>
          <w:sz w:val="32"/>
          <w:szCs w:val="32"/>
        </w:rPr>
        <w:t>采区长度约为</w:t>
      </w:r>
      <w:r>
        <w:rPr>
          <w:rFonts w:ascii="仿宋_GB2312" w:hAnsi="仿宋_GB2312" w:eastAsia="仿宋_GB2312" w:cs="仿宋_GB2312"/>
          <w:sz w:val="32"/>
          <w:szCs w:val="32"/>
        </w:rPr>
        <w:t>1400</w:t>
      </w:r>
      <w:r>
        <w:rPr>
          <w:rFonts w:hint="eastAsia" w:ascii="仿宋_GB2312" w:hAnsi="仿宋_GB2312" w:eastAsia="仿宋_GB2312" w:cs="仿宋_GB2312"/>
          <w:sz w:val="32"/>
          <w:szCs w:val="32"/>
        </w:rPr>
        <w:t>m，平均开挖宽约</w:t>
      </w:r>
      <w:r>
        <w:rPr>
          <w:rFonts w:ascii="仿宋_GB2312" w:hAnsi="仿宋_GB2312" w:eastAsia="仿宋_GB2312" w:cs="仿宋_GB2312"/>
          <w:sz w:val="32"/>
          <w:szCs w:val="32"/>
        </w:rPr>
        <w:t>42</w:t>
      </w:r>
      <w:r>
        <w:rPr>
          <w:rFonts w:hint="eastAsia" w:ascii="仿宋_GB2312" w:hAnsi="仿宋_GB2312" w:eastAsia="仿宋_GB2312" w:cs="仿宋_GB2312"/>
          <w:sz w:val="32"/>
          <w:szCs w:val="32"/>
        </w:rPr>
        <w:t>m，平均开采深度2.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m，开采面积约</w:t>
      </w:r>
      <w:r>
        <w:rPr>
          <w:rFonts w:ascii="仿宋_GB2312" w:hAnsi="仿宋_GB2312" w:eastAsia="仿宋_GB2312" w:cs="仿宋_GB2312"/>
          <w:sz w:val="32"/>
          <w:szCs w:val="32"/>
        </w:rPr>
        <w:t>5.94</w:t>
      </w:r>
      <w:r>
        <w:rPr>
          <w:rFonts w:hint="eastAsia" w:ascii="仿宋_GB2312" w:hAnsi="仿宋_GB2312" w:eastAsia="仿宋_GB2312" w:cs="仿宋_GB2312"/>
          <w:sz w:val="32"/>
          <w:szCs w:val="32"/>
        </w:rPr>
        <w:t>万m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，控制采砂量为</w:t>
      </w:r>
      <w:r>
        <w:rPr>
          <w:rFonts w:ascii="仿宋_GB2312" w:hAnsi="仿宋_GB2312" w:eastAsia="仿宋_GB2312" w:cs="仿宋_GB2312"/>
          <w:sz w:val="32"/>
          <w:szCs w:val="32"/>
        </w:rPr>
        <w:t>11.88</w:t>
      </w:r>
      <w:r>
        <w:rPr>
          <w:rFonts w:hint="eastAsia" w:ascii="仿宋_GB2312" w:hAnsi="仿宋_GB2312" w:eastAsia="仿宋_GB2312" w:cs="仿宋_GB2312"/>
          <w:sz w:val="32"/>
          <w:szCs w:val="32"/>
        </w:rPr>
        <w:t>万m</w:t>
      </w:r>
      <w:r>
        <w:rPr>
          <w:rFonts w:hint="eastAsia" w:ascii="仿宋_GB2312" w:hAnsi="仿宋_GB2312" w:eastAsia="仿宋_GB2312" w:cs="仿宋_GB2312"/>
          <w:sz w:val="32"/>
          <w:szCs w:val="32"/>
          <w:vertAlign w:val="superscript"/>
        </w:rPr>
        <w:t>3</w:t>
      </w:r>
      <w:r>
        <w:rPr>
          <w:rFonts w:hint="eastAsia" w:ascii="仿宋" w:hAnsi="仿宋" w:eastAsia="仿宋" w:cs="仿宋"/>
          <w:sz w:val="32"/>
          <w:szCs w:val="32"/>
        </w:rPr>
        <w:t>,</w:t>
      </w:r>
      <w:r>
        <w:rPr>
          <w:rFonts w:hint="eastAsia" w:ascii="仿宋" w:hAnsi="仿宋" w:eastAsia="仿宋"/>
          <w:sz w:val="32"/>
          <w:szCs w:val="32"/>
          <w:shd w:val="clear" w:color="auto" w:fill="FFFFFF"/>
        </w:rPr>
        <w:t>开采时间为</w:t>
      </w:r>
      <w:r>
        <w:rPr>
          <w:rFonts w:ascii="仿宋" w:hAnsi="仿宋" w:eastAsia="仿宋"/>
          <w:sz w:val="32"/>
          <w:szCs w:val="32"/>
          <w:shd w:val="clear" w:color="auto" w:fill="FFFFFF"/>
        </w:rPr>
        <w:t>6</w:t>
      </w:r>
      <w:r>
        <w:rPr>
          <w:rFonts w:hint="eastAsia" w:ascii="仿宋" w:hAnsi="仿宋" w:eastAsia="仿宋"/>
          <w:sz w:val="32"/>
          <w:szCs w:val="32"/>
          <w:shd w:val="clear" w:color="auto" w:fill="FFFFFF"/>
        </w:rPr>
        <w:t>个月。</w:t>
      </w:r>
      <w:r>
        <w:rPr>
          <w:rFonts w:hint="eastAsia" w:ascii="仿宋" w:hAnsi="仿宋" w:eastAsia="仿宋"/>
          <w:sz w:val="32"/>
          <w:szCs w:val="32"/>
        </w:rPr>
        <w:t>矿种：建筑河砂。</w:t>
      </w:r>
      <w:r>
        <w:rPr>
          <w:rFonts w:hint="eastAsia" w:ascii="仿宋_GB2312" w:hAnsi="仿宋_GB2312" w:eastAsia="仿宋_GB2312" w:cs="仿宋_GB2312"/>
          <w:sz w:val="32"/>
          <w:szCs w:val="32"/>
        </w:rPr>
        <w:t>挂牌起始价为人民币</w:t>
      </w:r>
      <w:r>
        <w:rPr>
          <w:rFonts w:hint="eastAsia" w:ascii="仿宋" w:hAnsi="仿宋" w:eastAsia="仿宋" w:cs="仿宋"/>
          <w:sz w:val="32"/>
          <w:szCs w:val="32"/>
        </w:rPr>
        <w:t>855.36</w:t>
      </w:r>
      <w:r>
        <w:rPr>
          <w:rFonts w:hint="eastAsia" w:ascii="仿宋_GB2312" w:hAnsi="仿宋_GB2312" w:eastAsia="仿宋_GB2312" w:cs="仿宋_GB2312"/>
          <w:sz w:val="32"/>
          <w:szCs w:val="32"/>
        </w:rPr>
        <w:t>万元（每立方米河砂72元）</w:t>
      </w:r>
      <w:r>
        <w:rPr>
          <w:rFonts w:hint="eastAsia" w:ascii="仿宋" w:hAnsi="仿宋" w:eastAsia="仿宋"/>
          <w:sz w:val="32"/>
          <w:szCs w:val="32"/>
        </w:rPr>
        <w:t>，竞买保证金为人民币</w:t>
      </w:r>
      <w:r>
        <w:rPr>
          <w:rFonts w:hint="eastAsia" w:ascii="仿宋" w:hAnsi="仿宋" w:eastAsia="仿宋" w:cs="仿宋"/>
          <w:sz w:val="32"/>
          <w:szCs w:val="32"/>
        </w:rPr>
        <w:t>171.072</w:t>
      </w:r>
      <w:r>
        <w:rPr>
          <w:rFonts w:hint="eastAsia" w:ascii="仿宋" w:hAnsi="仿宋" w:eastAsia="仿宋"/>
          <w:sz w:val="32"/>
          <w:szCs w:val="32"/>
        </w:rPr>
        <w:t>万元，竞拍</w:t>
      </w:r>
      <w:r>
        <w:rPr>
          <w:rFonts w:hint="eastAsia" w:ascii="仿宋" w:hAnsi="仿宋" w:eastAsia="仿宋" w:cs="仿宋"/>
          <w:sz w:val="32"/>
          <w:szCs w:val="32"/>
        </w:rPr>
        <w:t>每次报价应当比当前最高报价递增最少人民币10万元或其整数倍跨台阶报价。</w:t>
      </w:r>
    </w:p>
    <w:p w14:paraId="5C1303F5">
      <w:pPr>
        <w:adjustRightInd w:val="0"/>
        <w:spacing w:line="360" w:lineRule="auto"/>
        <w:ind w:firstLine="640" w:firstLineChars="200"/>
        <w:rPr>
          <w:rFonts w:ascii="仿宋" w:hAnsi="仿宋" w:eastAsia="仿宋"/>
          <w:sz w:val="32"/>
          <w:szCs w:val="32"/>
        </w:rPr>
      </w:pPr>
      <w:r>
        <w:rPr>
          <w:rFonts w:hint="eastAsia" w:ascii="仿宋" w:hAnsi="仿宋" w:eastAsia="仿宋" w:cs="仿宋_GB2312"/>
          <w:sz w:val="32"/>
          <w:szCs w:val="32"/>
        </w:rPr>
        <w:t>河砂开采权的成交价款：自签订《河砂开采权出让合同》之日起5个工作日内全额付清，在规定的采砂期限内（具体以河道采砂许可证为准）采砂达不到许可采砂总量合同总价款不予退还。</w:t>
      </w:r>
    </w:p>
    <w:p w14:paraId="144B6628">
      <w:pPr>
        <w:adjustRightInd w:val="0"/>
        <w:spacing w:line="360" w:lineRule="auto"/>
        <w:ind w:firstLine="640" w:firstLineChars="200"/>
        <w:rPr>
          <w:rFonts w:ascii="仿宋" w:hAnsi="仿宋" w:eastAsia="仿宋"/>
          <w:sz w:val="32"/>
          <w:szCs w:val="32"/>
        </w:rPr>
      </w:pPr>
      <w:r>
        <w:rPr>
          <w:rFonts w:hint="eastAsia" w:ascii="仿宋" w:hAnsi="仿宋" w:eastAsia="仿宋" w:cs="仿宋"/>
          <w:sz w:val="32"/>
          <w:szCs w:val="32"/>
        </w:rPr>
        <w:t>竞买人在报名前应对开采权出让采区的地理位置及相关情况进行了解,包括但不限于要有如何解决可采区的堆砂场、运输道路、第三方权益纠纷等问题的相应解决方案。</w:t>
      </w:r>
    </w:p>
    <w:p w14:paraId="6984F65D">
      <w:pPr>
        <w:pStyle w:val="5"/>
        <w:shd w:val="clear" w:color="auto" w:fill="FFFFFF"/>
        <w:ind w:firstLine="640"/>
        <w:jc w:val="both"/>
        <w:rPr>
          <w:rFonts w:ascii="仿宋" w:hAnsi="仿宋" w:eastAsia="仿宋"/>
          <w:sz w:val="32"/>
          <w:szCs w:val="32"/>
        </w:rPr>
      </w:pPr>
      <w:r>
        <w:rPr>
          <w:rFonts w:hint="eastAsia" w:ascii="仿宋" w:hAnsi="仿宋" w:eastAsia="仿宋"/>
          <w:sz w:val="32"/>
          <w:szCs w:val="32"/>
        </w:rPr>
        <w:t>采区范围坐标为（</w:t>
      </w:r>
      <w:r>
        <w:rPr>
          <w:rFonts w:ascii="仿宋" w:hAnsi="仿宋" w:eastAsia="仿宋"/>
          <w:sz w:val="32"/>
          <w:szCs w:val="32"/>
        </w:rPr>
        <w:t>表格中坐标编号对应</w:t>
      </w:r>
      <w:r>
        <w:rPr>
          <w:rFonts w:hint="eastAsia" w:ascii="仿宋" w:hAnsi="仿宋" w:eastAsia="仿宋"/>
          <w:sz w:val="32"/>
          <w:szCs w:val="32"/>
        </w:rPr>
        <w:t>开采区</w:t>
      </w:r>
      <w:r>
        <w:rPr>
          <w:rFonts w:ascii="仿宋" w:hAnsi="仿宋" w:eastAsia="仿宋"/>
          <w:sz w:val="32"/>
          <w:szCs w:val="32"/>
        </w:rPr>
        <w:t>图纸坐标编号</w:t>
      </w:r>
      <w:r>
        <w:rPr>
          <w:rFonts w:hint="eastAsia" w:ascii="仿宋" w:hAnsi="仿宋" w:eastAsia="仿宋"/>
          <w:sz w:val="32"/>
          <w:szCs w:val="32"/>
        </w:rPr>
        <w:t>）：</w:t>
      </w:r>
    </w:p>
    <w:tbl>
      <w:tblPr>
        <w:tblStyle w:val="7"/>
        <w:tblW w:w="68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4"/>
        <w:gridCol w:w="1724"/>
        <w:gridCol w:w="1724"/>
        <w:gridCol w:w="1724"/>
      </w:tblGrid>
      <w:tr w14:paraId="1748F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restart"/>
            <w:vAlign w:val="center"/>
          </w:tcPr>
          <w:p w14:paraId="7E4440DF">
            <w:pPr>
              <w:widowControl/>
              <w:adjustRightInd w:val="0"/>
              <w:snapToGrid w:val="0"/>
              <w:jc w:val="center"/>
              <w:rPr>
                <w:rFonts w:ascii="黑体" w:hAnsi="黑体" w:eastAsia="黑体" w:cs="黑体"/>
                <w:kern w:val="0"/>
                <w:sz w:val="24"/>
              </w:rPr>
            </w:pPr>
            <w:r>
              <w:rPr>
                <w:rFonts w:hint="eastAsia" w:ascii="黑体" w:hAnsi="黑体" w:eastAsia="黑体" w:cs="黑体"/>
                <w:kern w:val="0"/>
                <w:sz w:val="24"/>
              </w:rPr>
              <w:t>名称</w:t>
            </w:r>
          </w:p>
        </w:tc>
        <w:tc>
          <w:tcPr>
            <w:tcW w:w="1724" w:type="dxa"/>
            <w:vMerge w:val="restart"/>
            <w:vAlign w:val="center"/>
          </w:tcPr>
          <w:p w14:paraId="65D98F7B">
            <w:pPr>
              <w:widowControl/>
              <w:adjustRightInd w:val="0"/>
              <w:snapToGrid w:val="0"/>
              <w:jc w:val="center"/>
              <w:rPr>
                <w:rFonts w:ascii="黑体" w:hAnsi="黑体" w:eastAsia="黑体" w:cs="黑体"/>
                <w:kern w:val="0"/>
                <w:sz w:val="24"/>
              </w:rPr>
            </w:pPr>
            <w:r>
              <w:rPr>
                <w:rFonts w:hint="eastAsia" w:ascii="黑体" w:hAnsi="黑体" w:eastAsia="黑体" w:cs="黑体"/>
                <w:kern w:val="0"/>
                <w:sz w:val="24"/>
              </w:rPr>
              <w:t>编号</w:t>
            </w:r>
          </w:p>
        </w:tc>
        <w:tc>
          <w:tcPr>
            <w:tcW w:w="3448" w:type="dxa"/>
            <w:gridSpan w:val="2"/>
            <w:vAlign w:val="center"/>
          </w:tcPr>
          <w:p w14:paraId="77246B16">
            <w:pPr>
              <w:widowControl/>
              <w:adjustRightInd w:val="0"/>
              <w:snapToGrid w:val="0"/>
              <w:jc w:val="center"/>
              <w:rPr>
                <w:rFonts w:ascii="黑体" w:hAnsi="黑体" w:eastAsia="黑体" w:cs="黑体"/>
                <w:kern w:val="0"/>
                <w:sz w:val="24"/>
              </w:rPr>
            </w:pPr>
            <w:r>
              <w:rPr>
                <w:rFonts w:hint="eastAsia" w:ascii="黑体" w:hAnsi="黑体" w:eastAsia="黑体" w:cs="黑体"/>
                <w:kern w:val="0"/>
                <w:sz w:val="24"/>
              </w:rPr>
              <w:t>坐标</w:t>
            </w:r>
          </w:p>
        </w:tc>
      </w:tr>
      <w:tr w14:paraId="6C3E7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139E65E8">
            <w:pPr>
              <w:widowControl/>
              <w:adjustRightInd w:val="0"/>
              <w:snapToGrid w:val="0"/>
              <w:jc w:val="center"/>
              <w:rPr>
                <w:rFonts w:ascii="黑体" w:hAnsi="黑体" w:eastAsia="黑体" w:cs="黑体"/>
                <w:kern w:val="0"/>
                <w:sz w:val="24"/>
              </w:rPr>
            </w:pPr>
          </w:p>
        </w:tc>
        <w:tc>
          <w:tcPr>
            <w:tcW w:w="1724" w:type="dxa"/>
            <w:vMerge w:val="continue"/>
            <w:vAlign w:val="center"/>
          </w:tcPr>
          <w:p w14:paraId="208C894B">
            <w:pPr>
              <w:widowControl/>
              <w:adjustRightInd w:val="0"/>
              <w:snapToGrid w:val="0"/>
              <w:jc w:val="center"/>
              <w:rPr>
                <w:rFonts w:ascii="黑体" w:hAnsi="黑体" w:eastAsia="黑体" w:cs="黑体"/>
                <w:kern w:val="0"/>
                <w:sz w:val="24"/>
              </w:rPr>
            </w:pPr>
          </w:p>
        </w:tc>
        <w:tc>
          <w:tcPr>
            <w:tcW w:w="1724" w:type="dxa"/>
            <w:vAlign w:val="center"/>
          </w:tcPr>
          <w:p w14:paraId="6E634D41">
            <w:pPr>
              <w:widowControl/>
              <w:adjustRightInd w:val="0"/>
              <w:snapToGrid w:val="0"/>
              <w:jc w:val="center"/>
              <w:rPr>
                <w:rFonts w:ascii="黑体" w:hAnsi="黑体" w:eastAsia="黑体" w:cs="黑体"/>
                <w:kern w:val="0"/>
                <w:sz w:val="24"/>
              </w:rPr>
            </w:pPr>
            <w:r>
              <w:rPr>
                <w:rFonts w:hint="eastAsia" w:ascii="黑体" w:hAnsi="黑体" w:eastAsia="黑体" w:cs="黑体"/>
                <w:kern w:val="0"/>
                <w:sz w:val="24"/>
              </w:rPr>
              <w:t>X</w:t>
            </w:r>
          </w:p>
        </w:tc>
        <w:tc>
          <w:tcPr>
            <w:tcW w:w="1724" w:type="dxa"/>
            <w:vAlign w:val="center"/>
          </w:tcPr>
          <w:p w14:paraId="42B136B8">
            <w:pPr>
              <w:widowControl/>
              <w:adjustRightInd w:val="0"/>
              <w:snapToGrid w:val="0"/>
              <w:jc w:val="center"/>
              <w:rPr>
                <w:rFonts w:ascii="黑体" w:hAnsi="黑体" w:eastAsia="黑体" w:cs="黑体"/>
                <w:kern w:val="0"/>
                <w:sz w:val="24"/>
              </w:rPr>
            </w:pPr>
            <w:r>
              <w:rPr>
                <w:rFonts w:hint="eastAsia" w:ascii="黑体" w:hAnsi="黑体" w:eastAsia="黑体" w:cs="黑体"/>
                <w:kern w:val="0"/>
                <w:sz w:val="24"/>
              </w:rPr>
              <w:t>Y</w:t>
            </w:r>
          </w:p>
        </w:tc>
      </w:tr>
      <w:tr w14:paraId="0DB3D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exact"/>
          <w:jc w:val="center"/>
        </w:trPr>
        <w:tc>
          <w:tcPr>
            <w:tcW w:w="1724" w:type="dxa"/>
            <w:vMerge w:val="restart"/>
            <w:vAlign w:val="center"/>
          </w:tcPr>
          <w:p w14:paraId="4FD85C43">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南江河莲塘采区</w:t>
            </w:r>
          </w:p>
        </w:tc>
        <w:tc>
          <w:tcPr>
            <w:tcW w:w="1724" w:type="dxa"/>
            <w:vAlign w:val="center"/>
          </w:tcPr>
          <w:p w14:paraId="5E56F211">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D1</w:t>
            </w:r>
          </w:p>
        </w:tc>
        <w:tc>
          <w:tcPr>
            <w:tcW w:w="1724" w:type="dxa"/>
            <w:vAlign w:val="center"/>
          </w:tcPr>
          <w:p w14:paraId="67A20118">
            <w:pPr>
              <w:widowControl/>
              <w:adjustRightInd w:val="0"/>
              <w:snapToGrid w:val="0"/>
              <w:jc w:val="center"/>
              <w:rPr>
                <w:rFonts w:ascii="Times New Roman" w:hAnsi="Times New Roman"/>
                <w:kern w:val="0"/>
                <w:sz w:val="28"/>
                <w:szCs w:val="28"/>
              </w:rPr>
            </w:pPr>
            <w:r>
              <w:rPr>
                <w:rFonts w:hint="eastAsia" w:ascii="Times New Roman" w:hAnsi="Times New Roman" w:eastAsia="微软雅黑"/>
                <w:kern w:val="0"/>
                <w:sz w:val="28"/>
                <w:szCs w:val="28"/>
              </w:rPr>
              <w:t>2547083.66</w:t>
            </w:r>
            <w:r>
              <w:rPr>
                <w:rFonts w:ascii="Times New Roman" w:hAnsi="Times New Roman" w:eastAsia="微软雅黑"/>
                <w:kern w:val="0"/>
                <w:sz w:val="28"/>
                <w:szCs w:val="28"/>
              </w:rPr>
              <w:t xml:space="preserve"> </w:t>
            </w:r>
          </w:p>
        </w:tc>
        <w:tc>
          <w:tcPr>
            <w:tcW w:w="1724" w:type="dxa"/>
            <w:vAlign w:val="center"/>
          </w:tcPr>
          <w:p w14:paraId="2325D626">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577428.44</w:t>
            </w:r>
          </w:p>
        </w:tc>
      </w:tr>
      <w:tr w14:paraId="20486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exact"/>
          <w:jc w:val="center"/>
        </w:trPr>
        <w:tc>
          <w:tcPr>
            <w:tcW w:w="1724" w:type="dxa"/>
            <w:vMerge w:val="continue"/>
            <w:vAlign w:val="center"/>
          </w:tcPr>
          <w:p w14:paraId="1B2D9712">
            <w:pPr>
              <w:widowControl/>
              <w:adjustRightInd w:val="0"/>
              <w:snapToGrid w:val="0"/>
              <w:rPr>
                <w:rFonts w:ascii="仿宋_GB2312" w:hAnsi="仿宋_GB2312" w:eastAsia="仿宋_GB2312" w:cs="仿宋_GB2312"/>
                <w:kern w:val="0"/>
                <w:sz w:val="24"/>
              </w:rPr>
            </w:pPr>
          </w:p>
        </w:tc>
        <w:tc>
          <w:tcPr>
            <w:tcW w:w="1724" w:type="dxa"/>
            <w:vAlign w:val="center"/>
          </w:tcPr>
          <w:p w14:paraId="23AD4B89">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D2</w:t>
            </w:r>
          </w:p>
        </w:tc>
        <w:tc>
          <w:tcPr>
            <w:tcW w:w="1724" w:type="dxa"/>
            <w:vAlign w:val="center"/>
          </w:tcPr>
          <w:p w14:paraId="37C1667A">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2547204.</w:t>
            </w:r>
            <w:r>
              <w:rPr>
                <w:rFonts w:ascii="Times New Roman" w:hAnsi="Times New Roman" w:eastAsia="微软雅黑"/>
                <w:kern w:val="0"/>
                <w:sz w:val="28"/>
                <w:szCs w:val="28"/>
              </w:rPr>
              <w:t>60</w:t>
            </w:r>
          </w:p>
        </w:tc>
        <w:tc>
          <w:tcPr>
            <w:tcW w:w="1724" w:type="dxa"/>
            <w:vAlign w:val="center"/>
          </w:tcPr>
          <w:p w14:paraId="3FD1F6AF">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577568.92</w:t>
            </w:r>
          </w:p>
        </w:tc>
      </w:tr>
      <w:tr w14:paraId="023B1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exact"/>
          <w:jc w:val="center"/>
        </w:trPr>
        <w:tc>
          <w:tcPr>
            <w:tcW w:w="1724" w:type="dxa"/>
            <w:vMerge w:val="continue"/>
            <w:vAlign w:val="center"/>
          </w:tcPr>
          <w:p w14:paraId="24BBCCE6">
            <w:pPr>
              <w:widowControl/>
              <w:adjustRightInd w:val="0"/>
              <w:snapToGrid w:val="0"/>
              <w:rPr>
                <w:rFonts w:ascii="仿宋_GB2312" w:hAnsi="仿宋_GB2312" w:eastAsia="仿宋_GB2312" w:cs="仿宋_GB2312"/>
                <w:kern w:val="0"/>
                <w:sz w:val="24"/>
              </w:rPr>
            </w:pPr>
          </w:p>
        </w:tc>
        <w:tc>
          <w:tcPr>
            <w:tcW w:w="1724" w:type="dxa"/>
            <w:vAlign w:val="center"/>
          </w:tcPr>
          <w:p w14:paraId="7486A691">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D3</w:t>
            </w:r>
          </w:p>
        </w:tc>
        <w:tc>
          <w:tcPr>
            <w:tcW w:w="1724" w:type="dxa"/>
            <w:vAlign w:val="center"/>
          </w:tcPr>
          <w:p w14:paraId="7460B9A1">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2547377.98</w:t>
            </w:r>
          </w:p>
        </w:tc>
        <w:tc>
          <w:tcPr>
            <w:tcW w:w="1724" w:type="dxa"/>
            <w:vAlign w:val="center"/>
          </w:tcPr>
          <w:p w14:paraId="196BA16B">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577662.3</w:t>
            </w:r>
            <w:r>
              <w:rPr>
                <w:rFonts w:ascii="Times New Roman" w:hAnsi="Times New Roman" w:eastAsia="微软雅黑"/>
                <w:kern w:val="0"/>
                <w:sz w:val="28"/>
                <w:szCs w:val="28"/>
              </w:rPr>
              <w:t>5</w:t>
            </w:r>
          </w:p>
        </w:tc>
      </w:tr>
      <w:tr w14:paraId="1B37E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exact"/>
          <w:jc w:val="center"/>
        </w:trPr>
        <w:tc>
          <w:tcPr>
            <w:tcW w:w="1724" w:type="dxa"/>
            <w:vMerge w:val="continue"/>
            <w:vAlign w:val="center"/>
          </w:tcPr>
          <w:p w14:paraId="2147F484">
            <w:pPr>
              <w:widowControl/>
              <w:adjustRightInd w:val="0"/>
              <w:snapToGrid w:val="0"/>
              <w:rPr>
                <w:rFonts w:ascii="仿宋_GB2312" w:hAnsi="仿宋_GB2312" w:eastAsia="仿宋_GB2312" w:cs="仿宋_GB2312"/>
                <w:kern w:val="0"/>
                <w:sz w:val="24"/>
              </w:rPr>
            </w:pPr>
          </w:p>
        </w:tc>
        <w:tc>
          <w:tcPr>
            <w:tcW w:w="1724" w:type="dxa"/>
            <w:vAlign w:val="center"/>
          </w:tcPr>
          <w:p w14:paraId="55351374">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D4</w:t>
            </w:r>
          </w:p>
        </w:tc>
        <w:tc>
          <w:tcPr>
            <w:tcW w:w="1724" w:type="dxa"/>
            <w:vAlign w:val="center"/>
          </w:tcPr>
          <w:p w14:paraId="4077D9F6">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2547563.0</w:t>
            </w:r>
            <w:r>
              <w:rPr>
                <w:rFonts w:ascii="Times New Roman" w:hAnsi="Times New Roman" w:eastAsia="微软雅黑"/>
                <w:kern w:val="0"/>
                <w:sz w:val="28"/>
                <w:szCs w:val="28"/>
              </w:rPr>
              <w:t>6</w:t>
            </w:r>
          </w:p>
        </w:tc>
        <w:tc>
          <w:tcPr>
            <w:tcW w:w="1724" w:type="dxa"/>
            <w:vAlign w:val="center"/>
          </w:tcPr>
          <w:p w14:paraId="047578DC">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577717.13</w:t>
            </w:r>
          </w:p>
        </w:tc>
      </w:tr>
      <w:tr w14:paraId="2F813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exact"/>
          <w:jc w:val="center"/>
        </w:trPr>
        <w:tc>
          <w:tcPr>
            <w:tcW w:w="1724" w:type="dxa"/>
            <w:vMerge w:val="continue"/>
            <w:vAlign w:val="center"/>
          </w:tcPr>
          <w:p w14:paraId="5E85FF73">
            <w:pPr>
              <w:widowControl/>
              <w:adjustRightInd w:val="0"/>
              <w:snapToGrid w:val="0"/>
              <w:rPr>
                <w:rFonts w:ascii="仿宋_GB2312" w:hAnsi="仿宋_GB2312" w:eastAsia="仿宋_GB2312" w:cs="仿宋_GB2312"/>
                <w:kern w:val="0"/>
                <w:sz w:val="24"/>
              </w:rPr>
            </w:pPr>
          </w:p>
        </w:tc>
        <w:tc>
          <w:tcPr>
            <w:tcW w:w="1724" w:type="dxa"/>
            <w:vAlign w:val="center"/>
          </w:tcPr>
          <w:p w14:paraId="797AA860">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D5</w:t>
            </w:r>
          </w:p>
        </w:tc>
        <w:tc>
          <w:tcPr>
            <w:tcW w:w="1724" w:type="dxa"/>
            <w:vAlign w:val="center"/>
          </w:tcPr>
          <w:p w14:paraId="01426520">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2547754.5</w:t>
            </w:r>
            <w:r>
              <w:rPr>
                <w:rFonts w:ascii="Times New Roman" w:hAnsi="Times New Roman" w:eastAsia="微软雅黑"/>
                <w:kern w:val="0"/>
                <w:sz w:val="28"/>
                <w:szCs w:val="28"/>
              </w:rPr>
              <w:t>9</w:t>
            </w:r>
          </w:p>
        </w:tc>
        <w:tc>
          <w:tcPr>
            <w:tcW w:w="1724" w:type="dxa"/>
            <w:vAlign w:val="center"/>
          </w:tcPr>
          <w:p w14:paraId="32A5E114">
            <w:pPr>
              <w:widowControl/>
              <w:adjustRightInd w:val="0"/>
              <w:snapToGrid w:val="0"/>
              <w:jc w:val="center"/>
              <w:rPr>
                <w:rFonts w:ascii="Times New Roman" w:hAnsi="Times New Roman"/>
                <w:kern w:val="0"/>
                <w:sz w:val="28"/>
                <w:szCs w:val="28"/>
              </w:rPr>
            </w:pPr>
            <w:r>
              <w:rPr>
                <w:rFonts w:hint="eastAsia" w:ascii="Times New Roman" w:hAnsi="Times New Roman" w:eastAsia="微软雅黑"/>
                <w:kern w:val="0"/>
                <w:sz w:val="28"/>
                <w:szCs w:val="28"/>
              </w:rPr>
              <w:t>577679.5</w:t>
            </w:r>
            <w:r>
              <w:rPr>
                <w:rFonts w:ascii="Times New Roman" w:hAnsi="Times New Roman" w:eastAsia="微软雅黑"/>
                <w:kern w:val="0"/>
                <w:sz w:val="28"/>
                <w:szCs w:val="28"/>
              </w:rPr>
              <w:t xml:space="preserve">2 </w:t>
            </w:r>
          </w:p>
        </w:tc>
      </w:tr>
      <w:tr w14:paraId="3FCF3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exact"/>
          <w:jc w:val="center"/>
        </w:trPr>
        <w:tc>
          <w:tcPr>
            <w:tcW w:w="1724" w:type="dxa"/>
            <w:vMerge w:val="continue"/>
            <w:vAlign w:val="center"/>
          </w:tcPr>
          <w:p w14:paraId="0D702881">
            <w:pPr>
              <w:widowControl/>
              <w:adjustRightInd w:val="0"/>
              <w:snapToGrid w:val="0"/>
              <w:rPr>
                <w:rFonts w:ascii="仿宋_GB2312" w:hAnsi="仿宋_GB2312" w:eastAsia="仿宋_GB2312" w:cs="仿宋_GB2312"/>
                <w:kern w:val="0"/>
                <w:sz w:val="24"/>
              </w:rPr>
            </w:pPr>
          </w:p>
        </w:tc>
        <w:tc>
          <w:tcPr>
            <w:tcW w:w="1724" w:type="dxa"/>
            <w:vAlign w:val="center"/>
          </w:tcPr>
          <w:p w14:paraId="55540C36">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D6</w:t>
            </w:r>
          </w:p>
        </w:tc>
        <w:tc>
          <w:tcPr>
            <w:tcW w:w="1724" w:type="dxa"/>
            <w:vAlign w:val="center"/>
          </w:tcPr>
          <w:p w14:paraId="3ACEE3FB">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2547933.39</w:t>
            </w:r>
          </w:p>
        </w:tc>
        <w:tc>
          <w:tcPr>
            <w:tcW w:w="1724" w:type="dxa"/>
            <w:vAlign w:val="center"/>
          </w:tcPr>
          <w:p w14:paraId="69D16803">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577601.1</w:t>
            </w:r>
            <w:r>
              <w:rPr>
                <w:rFonts w:ascii="Times New Roman" w:hAnsi="Times New Roman" w:eastAsia="微软雅黑"/>
                <w:kern w:val="0"/>
                <w:sz w:val="28"/>
                <w:szCs w:val="28"/>
              </w:rPr>
              <w:t>1</w:t>
            </w:r>
          </w:p>
        </w:tc>
      </w:tr>
      <w:tr w14:paraId="0038F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exact"/>
          <w:jc w:val="center"/>
        </w:trPr>
        <w:tc>
          <w:tcPr>
            <w:tcW w:w="1724" w:type="dxa"/>
            <w:vMerge w:val="continue"/>
            <w:vAlign w:val="center"/>
          </w:tcPr>
          <w:p w14:paraId="111EA954">
            <w:pPr>
              <w:widowControl/>
              <w:adjustRightInd w:val="0"/>
              <w:snapToGrid w:val="0"/>
              <w:rPr>
                <w:rFonts w:ascii="仿宋_GB2312" w:hAnsi="仿宋_GB2312" w:eastAsia="仿宋_GB2312" w:cs="仿宋_GB2312"/>
                <w:kern w:val="0"/>
                <w:sz w:val="24"/>
              </w:rPr>
            </w:pPr>
          </w:p>
        </w:tc>
        <w:tc>
          <w:tcPr>
            <w:tcW w:w="1724" w:type="dxa"/>
            <w:vAlign w:val="center"/>
          </w:tcPr>
          <w:p w14:paraId="369D00F2">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D7</w:t>
            </w:r>
          </w:p>
        </w:tc>
        <w:tc>
          <w:tcPr>
            <w:tcW w:w="1724" w:type="dxa"/>
            <w:vAlign w:val="center"/>
          </w:tcPr>
          <w:p w14:paraId="7814D250">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2548109.1</w:t>
            </w:r>
            <w:r>
              <w:rPr>
                <w:rFonts w:ascii="Times New Roman" w:hAnsi="Times New Roman" w:eastAsia="微软雅黑"/>
                <w:kern w:val="0"/>
                <w:sz w:val="28"/>
                <w:szCs w:val="28"/>
              </w:rPr>
              <w:t>1</w:t>
            </w:r>
          </w:p>
        </w:tc>
        <w:tc>
          <w:tcPr>
            <w:tcW w:w="1724" w:type="dxa"/>
            <w:vAlign w:val="center"/>
          </w:tcPr>
          <w:p w14:paraId="05185021">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577511.68</w:t>
            </w:r>
          </w:p>
        </w:tc>
      </w:tr>
      <w:tr w14:paraId="0B11F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exact"/>
          <w:jc w:val="center"/>
        </w:trPr>
        <w:tc>
          <w:tcPr>
            <w:tcW w:w="1724" w:type="dxa"/>
            <w:vMerge w:val="continue"/>
            <w:vAlign w:val="center"/>
          </w:tcPr>
          <w:p w14:paraId="3C42ED65">
            <w:pPr>
              <w:widowControl/>
              <w:adjustRightInd w:val="0"/>
              <w:snapToGrid w:val="0"/>
              <w:ind w:firstLine="480" w:firstLineChars="200"/>
              <w:rPr>
                <w:rFonts w:ascii="仿宋_GB2312" w:hAnsi="仿宋_GB2312" w:eastAsia="仿宋_GB2312" w:cs="仿宋_GB2312"/>
                <w:kern w:val="0"/>
                <w:sz w:val="24"/>
              </w:rPr>
            </w:pPr>
          </w:p>
        </w:tc>
        <w:tc>
          <w:tcPr>
            <w:tcW w:w="1724" w:type="dxa"/>
            <w:vAlign w:val="center"/>
          </w:tcPr>
          <w:p w14:paraId="12743185">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D8</w:t>
            </w:r>
          </w:p>
        </w:tc>
        <w:tc>
          <w:tcPr>
            <w:tcW w:w="1724" w:type="dxa"/>
            <w:vAlign w:val="center"/>
          </w:tcPr>
          <w:p w14:paraId="384B4C9D">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2548297.0</w:t>
            </w:r>
            <w:r>
              <w:rPr>
                <w:rFonts w:ascii="Times New Roman" w:hAnsi="Times New Roman" w:eastAsia="微软雅黑"/>
                <w:kern w:val="0"/>
                <w:sz w:val="28"/>
                <w:szCs w:val="28"/>
              </w:rPr>
              <w:t>2</w:t>
            </w:r>
          </w:p>
        </w:tc>
        <w:tc>
          <w:tcPr>
            <w:tcW w:w="1724" w:type="dxa"/>
            <w:vAlign w:val="center"/>
          </w:tcPr>
          <w:p w14:paraId="06FCC82F">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577430.2</w:t>
            </w:r>
            <w:r>
              <w:rPr>
                <w:rFonts w:ascii="Times New Roman" w:hAnsi="Times New Roman" w:eastAsia="微软雅黑"/>
                <w:kern w:val="0"/>
                <w:sz w:val="28"/>
                <w:szCs w:val="28"/>
              </w:rPr>
              <w:t>2</w:t>
            </w:r>
          </w:p>
        </w:tc>
      </w:tr>
      <w:tr w14:paraId="3C077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exact"/>
          <w:jc w:val="center"/>
        </w:trPr>
        <w:tc>
          <w:tcPr>
            <w:tcW w:w="1724" w:type="dxa"/>
            <w:vMerge w:val="continue"/>
            <w:vAlign w:val="center"/>
          </w:tcPr>
          <w:p w14:paraId="6232C739">
            <w:pPr>
              <w:widowControl/>
              <w:adjustRightInd w:val="0"/>
              <w:snapToGrid w:val="0"/>
              <w:ind w:firstLine="480" w:firstLineChars="200"/>
              <w:rPr>
                <w:rFonts w:ascii="仿宋_GB2312" w:hAnsi="仿宋_GB2312" w:eastAsia="仿宋_GB2312" w:cs="仿宋_GB2312"/>
                <w:kern w:val="0"/>
                <w:sz w:val="24"/>
              </w:rPr>
            </w:pPr>
          </w:p>
        </w:tc>
        <w:tc>
          <w:tcPr>
            <w:tcW w:w="1724" w:type="dxa"/>
            <w:vAlign w:val="center"/>
          </w:tcPr>
          <w:p w14:paraId="199C387F">
            <w:pPr>
              <w:widowControl/>
              <w:adjustRightInd w:val="0"/>
              <w:snapToGrid w:val="0"/>
              <w:jc w:val="center"/>
              <w:rPr>
                <w:rFonts w:ascii="Times New Roman" w:hAnsi="Times New Roman"/>
                <w:kern w:val="0"/>
                <w:sz w:val="28"/>
                <w:szCs w:val="28"/>
              </w:rPr>
            </w:pPr>
            <w:r>
              <w:rPr>
                <w:rFonts w:hint="eastAsia" w:ascii="Times New Roman" w:hAnsi="Times New Roman" w:eastAsia="微软雅黑"/>
                <w:kern w:val="0"/>
                <w:sz w:val="28"/>
                <w:szCs w:val="28"/>
              </w:rPr>
              <w:t>D9</w:t>
            </w:r>
          </w:p>
        </w:tc>
        <w:tc>
          <w:tcPr>
            <w:tcW w:w="1724" w:type="dxa"/>
            <w:vAlign w:val="center"/>
          </w:tcPr>
          <w:p w14:paraId="5E4B6033">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2548307.</w:t>
            </w:r>
            <w:r>
              <w:rPr>
                <w:rFonts w:ascii="Times New Roman" w:hAnsi="Times New Roman" w:eastAsia="微软雅黑"/>
                <w:kern w:val="0"/>
                <w:sz w:val="28"/>
                <w:szCs w:val="28"/>
              </w:rPr>
              <w:t>33</w:t>
            </w:r>
          </w:p>
        </w:tc>
        <w:tc>
          <w:tcPr>
            <w:tcW w:w="1724" w:type="dxa"/>
            <w:vAlign w:val="center"/>
          </w:tcPr>
          <w:p w14:paraId="56C82B0C">
            <w:pPr>
              <w:widowControl/>
              <w:adjustRightInd w:val="0"/>
              <w:snapToGrid w:val="0"/>
              <w:jc w:val="center"/>
              <w:rPr>
                <w:rFonts w:ascii="Times New Roman" w:hAnsi="Times New Roman"/>
                <w:kern w:val="0"/>
                <w:sz w:val="28"/>
                <w:szCs w:val="28"/>
              </w:rPr>
            </w:pPr>
            <w:r>
              <w:rPr>
                <w:rFonts w:hint="eastAsia" w:ascii="Times New Roman" w:hAnsi="Times New Roman" w:eastAsia="微软雅黑"/>
                <w:kern w:val="0"/>
                <w:sz w:val="28"/>
                <w:szCs w:val="28"/>
              </w:rPr>
              <w:t>57747</w:t>
            </w:r>
            <w:r>
              <w:rPr>
                <w:rFonts w:ascii="Times New Roman" w:hAnsi="Times New Roman" w:eastAsia="微软雅黑"/>
                <w:kern w:val="0"/>
                <w:sz w:val="28"/>
                <w:szCs w:val="28"/>
              </w:rPr>
              <w:t>4</w:t>
            </w:r>
            <w:r>
              <w:rPr>
                <w:rFonts w:hint="eastAsia" w:ascii="Times New Roman" w:hAnsi="Times New Roman" w:eastAsia="微软雅黑"/>
                <w:kern w:val="0"/>
                <w:sz w:val="28"/>
                <w:szCs w:val="28"/>
              </w:rPr>
              <w:t>.</w:t>
            </w:r>
            <w:r>
              <w:rPr>
                <w:rFonts w:ascii="Times New Roman" w:hAnsi="Times New Roman" w:eastAsia="微软雅黑"/>
                <w:kern w:val="0"/>
                <w:sz w:val="28"/>
                <w:szCs w:val="28"/>
              </w:rPr>
              <w:t xml:space="preserve">95 </w:t>
            </w:r>
          </w:p>
        </w:tc>
      </w:tr>
      <w:tr w14:paraId="43E7D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exact"/>
          <w:jc w:val="center"/>
        </w:trPr>
        <w:tc>
          <w:tcPr>
            <w:tcW w:w="1724" w:type="dxa"/>
            <w:vMerge w:val="continue"/>
            <w:vAlign w:val="center"/>
          </w:tcPr>
          <w:p w14:paraId="646C7376">
            <w:pPr>
              <w:widowControl/>
              <w:adjustRightInd w:val="0"/>
              <w:snapToGrid w:val="0"/>
              <w:ind w:firstLine="480" w:firstLineChars="200"/>
              <w:rPr>
                <w:rFonts w:ascii="仿宋_GB2312" w:hAnsi="仿宋_GB2312" w:eastAsia="仿宋_GB2312" w:cs="仿宋_GB2312"/>
                <w:kern w:val="0"/>
                <w:sz w:val="24"/>
              </w:rPr>
            </w:pPr>
          </w:p>
        </w:tc>
        <w:tc>
          <w:tcPr>
            <w:tcW w:w="1724" w:type="dxa"/>
            <w:vAlign w:val="center"/>
          </w:tcPr>
          <w:p w14:paraId="6287F9B7">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D10</w:t>
            </w:r>
          </w:p>
        </w:tc>
        <w:tc>
          <w:tcPr>
            <w:tcW w:w="1724" w:type="dxa"/>
            <w:vAlign w:val="center"/>
          </w:tcPr>
          <w:p w14:paraId="2974D2AD">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254820</w:t>
            </w:r>
            <w:r>
              <w:rPr>
                <w:rFonts w:ascii="Times New Roman" w:hAnsi="Times New Roman" w:eastAsia="微软雅黑"/>
                <w:kern w:val="0"/>
                <w:sz w:val="28"/>
                <w:szCs w:val="28"/>
              </w:rPr>
              <w:t>3</w:t>
            </w:r>
            <w:r>
              <w:rPr>
                <w:rFonts w:hint="eastAsia" w:ascii="Times New Roman" w:hAnsi="Times New Roman" w:eastAsia="微软雅黑"/>
                <w:kern w:val="0"/>
                <w:sz w:val="28"/>
                <w:szCs w:val="28"/>
              </w:rPr>
              <w:t>.</w:t>
            </w:r>
            <w:r>
              <w:rPr>
                <w:rFonts w:ascii="Times New Roman" w:hAnsi="Times New Roman" w:eastAsia="微软雅黑"/>
                <w:kern w:val="0"/>
                <w:sz w:val="28"/>
                <w:szCs w:val="28"/>
              </w:rPr>
              <w:t>96</w:t>
            </w:r>
          </w:p>
        </w:tc>
        <w:tc>
          <w:tcPr>
            <w:tcW w:w="1724" w:type="dxa"/>
            <w:vAlign w:val="center"/>
          </w:tcPr>
          <w:p w14:paraId="7CB3A971">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57750</w:t>
            </w:r>
            <w:r>
              <w:rPr>
                <w:rFonts w:ascii="Times New Roman" w:hAnsi="Times New Roman" w:eastAsia="微软雅黑"/>
                <w:kern w:val="0"/>
                <w:sz w:val="28"/>
                <w:szCs w:val="28"/>
              </w:rPr>
              <w:t>2</w:t>
            </w:r>
            <w:r>
              <w:rPr>
                <w:rFonts w:hint="eastAsia" w:ascii="Times New Roman" w:hAnsi="Times New Roman" w:eastAsia="微软雅黑"/>
                <w:kern w:val="0"/>
                <w:sz w:val="28"/>
                <w:szCs w:val="28"/>
              </w:rPr>
              <w:t>.</w:t>
            </w:r>
            <w:r>
              <w:rPr>
                <w:rFonts w:ascii="Times New Roman" w:hAnsi="Times New Roman" w:eastAsia="微软雅黑"/>
                <w:kern w:val="0"/>
                <w:sz w:val="28"/>
                <w:szCs w:val="28"/>
              </w:rPr>
              <w:t>57</w:t>
            </w:r>
          </w:p>
        </w:tc>
      </w:tr>
      <w:tr w14:paraId="1C4C4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exact"/>
          <w:jc w:val="center"/>
        </w:trPr>
        <w:tc>
          <w:tcPr>
            <w:tcW w:w="1724" w:type="dxa"/>
            <w:vMerge w:val="continue"/>
            <w:vAlign w:val="center"/>
          </w:tcPr>
          <w:p w14:paraId="396A1300">
            <w:pPr>
              <w:widowControl/>
              <w:adjustRightInd w:val="0"/>
              <w:snapToGrid w:val="0"/>
              <w:ind w:firstLine="480" w:firstLineChars="200"/>
              <w:rPr>
                <w:rFonts w:ascii="仿宋_GB2312" w:hAnsi="仿宋_GB2312" w:eastAsia="仿宋_GB2312" w:cs="仿宋_GB2312"/>
                <w:kern w:val="0"/>
                <w:sz w:val="24"/>
              </w:rPr>
            </w:pPr>
          </w:p>
        </w:tc>
        <w:tc>
          <w:tcPr>
            <w:tcW w:w="1724" w:type="dxa"/>
            <w:vAlign w:val="center"/>
          </w:tcPr>
          <w:p w14:paraId="45D6F8B2">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D11</w:t>
            </w:r>
          </w:p>
        </w:tc>
        <w:tc>
          <w:tcPr>
            <w:tcW w:w="1724" w:type="dxa"/>
            <w:vAlign w:val="center"/>
          </w:tcPr>
          <w:p w14:paraId="485BC705">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254816</w:t>
            </w:r>
            <w:r>
              <w:rPr>
                <w:rFonts w:ascii="Times New Roman" w:hAnsi="Times New Roman" w:eastAsia="微软雅黑"/>
                <w:kern w:val="0"/>
                <w:sz w:val="28"/>
                <w:szCs w:val="28"/>
              </w:rPr>
              <w:t>2</w:t>
            </w:r>
            <w:r>
              <w:rPr>
                <w:rFonts w:hint="eastAsia" w:ascii="Times New Roman" w:hAnsi="Times New Roman" w:eastAsia="微软雅黑"/>
                <w:kern w:val="0"/>
                <w:sz w:val="28"/>
                <w:szCs w:val="28"/>
              </w:rPr>
              <w:t>.</w:t>
            </w:r>
            <w:r>
              <w:rPr>
                <w:rFonts w:ascii="Times New Roman" w:hAnsi="Times New Roman" w:eastAsia="微软雅黑"/>
                <w:kern w:val="0"/>
                <w:sz w:val="28"/>
                <w:szCs w:val="28"/>
              </w:rPr>
              <w:t>47</w:t>
            </w:r>
          </w:p>
        </w:tc>
        <w:tc>
          <w:tcPr>
            <w:tcW w:w="1724" w:type="dxa"/>
            <w:vAlign w:val="center"/>
          </w:tcPr>
          <w:p w14:paraId="07838998">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57752</w:t>
            </w:r>
            <w:r>
              <w:rPr>
                <w:rFonts w:ascii="Times New Roman" w:hAnsi="Times New Roman" w:eastAsia="微软雅黑"/>
                <w:kern w:val="0"/>
                <w:sz w:val="28"/>
                <w:szCs w:val="28"/>
              </w:rPr>
              <w:t>3</w:t>
            </w:r>
            <w:r>
              <w:rPr>
                <w:rFonts w:hint="eastAsia" w:ascii="Times New Roman" w:hAnsi="Times New Roman" w:eastAsia="微软雅黑"/>
                <w:kern w:val="0"/>
                <w:sz w:val="28"/>
                <w:szCs w:val="28"/>
              </w:rPr>
              <w:t>.</w:t>
            </w:r>
            <w:r>
              <w:rPr>
                <w:rFonts w:ascii="Times New Roman" w:hAnsi="Times New Roman" w:eastAsia="微软雅黑"/>
                <w:kern w:val="0"/>
                <w:sz w:val="28"/>
                <w:szCs w:val="28"/>
              </w:rPr>
              <w:t>02</w:t>
            </w:r>
          </w:p>
        </w:tc>
      </w:tr>
      <w:tr w14:paraId="63CC7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exact"/>
          <w:jc w:val="center"/>
        </w:trPr>
        <w:tc>
          <w:tcPr>
            <w:tcW w:w="1724" w:type="dxa"/>
            <w:vMerge w:val="continue"/>
            <w:vAlign w:val="center"/>
          </w:tcPr>
          <w:p w14:paraId="01FC360F">
            <w:pPr>
              <w:widowControl/>
              <w:adjustRightInd w:val="0"/>
              <w:snapToGrid w:val="0"/>
              <w:ind w:firstLine="480" w:firstLineChars="200"/>
              <w:rPr>
                <w:rFonts w:ascii="仿宋_GB2312" w:hAnsi="仿宋_GB2312" w:eastAsia="仿宋_GB2312" w:cs="仿宋_GB2312"/>
                <w:kern w:val="0"/>
                <w:sz w:val="24"/>
              </w:rPr>
            </w:pPr>
          </w:p>
        </w:tc>
        <w:tc>
          <w:tcPr>
            <w:tcW w:w="1724" w:type="dxa"/>
            <w:vAlign w:val="center"/>
          </w:tcPr>
          <w:p w14:paraId="115A620F">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D12</w:t>
            </w:r>
          </w:p>
        </w:tc>
        <w:tc>
          <w:tcPr>
            <w:tcW w:w="1724" w:type="dxa"/>
            <w:vAlign w:val="center"/>
          </w:tcPr>
          <w:p w14:paraId="1181814E">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254813</w:t>
            </w:r>
            <w:r>
              <w:rPr>
                <w:rFonts w:ascii="Times New Roman" w:hAnsi="Times New Roman" w:eastAsia="微软雅黑"/>
                <w:kern w:val="0"/>
                <w:sz w:val="28"/>
                <w:szCs w:val="28"/>
              </w:rPr>
              <w:t>3</w:t>
            </w:r>
            <w:r>
              <w:rPr>
                <w:rFonts w:hint="eastAsia" w:ascii="Times New Roman" w:hAnsi="Times New Roman" w:eastAsia="微软雅黑"/>
                <w:kern w:val="0"/>
                <w:sz w:val="28"/>
                <w:szCs w:val="28"/>
              </w:rPr>
              <w:t>.</w:t>
            </w:r>
            <w:r>
              <w:rPr>
                <w:rFonts w:ascii="Times New Roman" w:hAnsi="Times New Roman" w:eastAsia="微软雅黑"/>
                <w:kern w:val="0"/>
                <w:sz w:val="28"/>
                <w:szCs w:val="28"/>
              </w:rPr>
              <w:t>12</w:t>
            </w:r>
          </w:p>
        </w:tc>
        <w:tc>
          <w:tcPr>
            <w:tcW w:w="1724" w:type="dxa"/>
            <w:vAlign w:val="center"/>
          </w:tcPr>
          <w:p w14:paraId="2A00377B">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57755</w:t>
            </w:r>
            <w:r>
              <w:rPr>
                <w:rFonts w:ascii="Times New Roman" w:hAnsi="Times New Roman" w:eastAsia="微软雅黑"/>
                <w:kern w:val="0"/>
                <w:sz w:val="28"/>
                <w:szCs w:val="28"/>
              </w:rPr>
              <w:t>0</w:t>
            </w:r>
            <w:r>
              <w:rPr>
                <w:rFonts w:hint="eastAsia" w:ascii="Times New Roman" w:hAnsi="Times New Roman" w:eastAsia="微软雅黑"/>
                <w:kern w:val="0"/>
                <w:sz w:val="28"/>
                <w:szCs w:val="28"/>
              </w:rPr>
              <w:t>.</w:t>
            </w:r>
            <w:r>
              <w:rPr>
                <w:rFonts w:ascii="Times New Roman" w:hAnsi="Times New Roman" w:eastAsia="微软雅黑"/>
                <w:kern w:val="0"/>
                <w:sz w:val="28"/>
                <w:szCs w:val="28"/>
              </w:rPr>
              <w:t>85</w:t>
            </w:r>
          </w:p>
        </w:tc>
      </w:tr>
      <w:tr w14:paraId="0C029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exact"/>
          <w:jc w:val="center"/>
        </w:trPr>
        <w:tc>
          <w:tcPr>
            <w:tcW w:w="1724" w:type="dxa"/>
            <w:vMerge w:val="continue"/>
            <w:vAlign w:val="center"/>
          </w:tcPr>
          <w:p w14:paraId="09FA1BF1">
            <w:pPr>
              <w:widowControl/>
              <w:adjustRightInd w:val="0"/>
              <w:snapToGrid w:val="0"/>
              <w:ind w:firstLine="480" w:firstLineChars="200"/>
              <w:rPr>
                <w:rFonts w:ascii="仿宋_GB2312" w:hAnsi="仿宋_GB2312" w:eastAsia="仿宋_GB2312" w:cs="仿宋_GB2312"/>
                <w:kern w:val="0"/>
                <w:sz w:val="24"/>
              </w:rPr>
            </w:pPr>
          </w:p>
        </w:tc>
        <w:tc>
          <w:tcPr>
            <w:tcW w:w="1724" w:type="dxa"/>
            <w:vAlign w:val="center"/>
          </w:tcPr>
          <w:p w14:paraId="630D44FE">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D13</w:t>
            </w:r>
          </w:p>
        </w:tc>
        <w:tc>
          <w:tcPr>
            <w:tcW w:w="1724" w:type="dxa"/>
            <w:vAlign w:val="center"/>
          </w:tcPr>
          <w:p w14:paraId="7D8CDE36">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254795</w:t>
            </w:r>
            <w:r>
              <w:rPr>
                <w:rFonts w:ascii="Times New Roman" w:hAnsi="Times New Roman" w:eastAsia="微软雅黑"/>
                <w:kern w:val="0"/>
                <w:sz w:val="28"/>
                <w:szCs w:val="28"/>
              </w:rPr>
              <w:t>0</w:t>
            </w:r>
            <w:r>
              <w:rPr>
                <w:rFonts w:hint="eastAsia" w:ascii="Times New Roman" w:hAnsi="Times New Roman" w:eastAsia="微软雅黑"/>
                <w:kern w:val="0"/>
                <w:sz w:val="28"/>
                <w:szCs w:val="28"/>
              </w:rPr>
              <w:t>.</w:t>
            </w:r>
            <w:r>
              <w:rPr>
                <w:rFonts w:ascii="Times New Roman" w:hAnsi="Times New Roman" w:eastAsia="微软雅黑"/>
                <w:kern w:val="0"/>
                <w:sz w:val="28"/>
                <w:szCs w:val="28"/>
              </w:rPr>
              <w:t>64</w:t>
            </w:r>
          </w:p>
        </w:tc>
        <w:tc>
          <w:tcPr>
            <w:tcW w:w="1724" w:type="dxa"/>
            <w:vAlign w:val="center"/>
          </w:tcPr>
          <w:p w14:paraId="28E0C709">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57764</w:t>
            </w:r>
            <w:r>
              <w:rPr>
                <w:rFonts w:ascii="Times New Roman" w:hAnsi="Times New Roman" w:eastAsia="微软雅黑"/>
                <w:kern w:val="0"/>
                <w:sz w:val="28"/>
                <w:szCs w:val="28"/>
              </w:rPr>
              <w:t>1</w:t>
            </w:r>
            <w:r>
              <w:rPr>
                <w:rFonts w:hint="eastAsia" w:ascii="Times New Roman" w:hAnsi="Times New Roman" w:eastAsia="微软雅黑"/>
                <w:kern w:val="0"/>
                <w:sz w:val="28"/>
                <w:szCs w:val="28"/>
              </w:rPr>
              <w:t>.</w:t>
            </w:r>
            <w:r>
              <w:rPr>
                <w:rFonts w:ascii="Times New Roman" w:hAnsi="Times New Roman" w:eastAsia="微软雅黑"/>
                <w:kern w:val="0"/>
                <w:sz w:val="28"/>
                <w:szCs w:val="28"/>
              </w:rPr>
              <w:t>84</w:t>
            </w:r>
          </w:p>
        </w:tc>
      </w:tr>
      <w:tr w14:paraId="557D8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362D5B03">
            <w:pPr>
              <w:widowControl/>
              <w:adjustRightInd w:val="0"/>
              <w:snapToGrid w:val="0"/>
              <w:ind w:firstLine="480" w:firstLineChars="200"/>
              <w:rPr>
                <w:rFonts w:ascii="仿宋_GB2312" w:hAnsi="仿宋_GB2312" w:eastAsia="仿宋_GB2312" w:cs="仿宋_GB2312"/>
                <w:kern w:val="0"/>
                <w:sz w:val="24"/>
              </w:rPr>
            </w:pPr>
          </w:p>
        </w:tc>
        <w:tc>
          <w:tcPr>
            <w:tcW w:w="1724" w:type="dxa"/>
            <w:vAlign w:val="center"/>
          </w:tcPr>
          <w:p w14:paraId="69EC9461">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D14</w:t>
            </w:r>
          </w:p>
        </w:tc>
        <w:tc>
          <w:tcPr>
            <w:tcW w:w="1724" w:type="dxa"/>
            <w:vAlign w:val="center"/>
          </w:tcPr>
          <w:p w14:paraId="25CF50B1">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2547765.</w:t>
            </w:r>
            <w:r>
              <w:rPr>
                <w:rFonts w:ascii="Times New Roman" w:hAnsi="Times New Roman" w:eastAsia="微软雅黑"/>
                <w:kern w:val="0"/>
                <w:sz w:val="28"/>
                <w:szCs w:val="28"/>
              </w:rPr>
              <w:t>05</w:t>
            </w:r>
          </w:p>
        </w:tc>
        <w:tc>
          <w:tcPr>
            <w:tcW w:w="1724" w:type="dxa"/>
            <w:vAlign w:val="center"/>
          </w:tcPr>
          <w:p w14:paraId="0BB59895">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57771</w:t>
            </w:r>
            <w:r>
              <w:rPr>
                <w:rFonts w:ascii="Times New Roman" w:hAnsi="Times New Roman" w:eastAsia="微软雅黑"/>
                <w:kern w:val="0"/>
                <w:sz w:val="28"/>
                <w:szCs w:val="28"/>
              </w:rPr>
              <w:t>5</w:t>
            </w:r>
            <w:r>
              <w:rPr>
                <w:rFonts w:hint="eastAsia" w:ascii="Times New Roman" w:hAnsi="Times New Roman" w:eastAsia="微软雅黑"/>
                <w:kern w:val="0"/>
                <w:sz w:val="28"/>
                <w:szCs w:val="28"/>
              </w:rPr>
              <w:t>.</w:t>
            </w:r>
            <w:r>
              <w:rPr>
                <w:rFonts w:ascii="Times New Roman" w:hAnsi="Times New Roman" w:eastAsia="微软雅黑"/>
                <w:kern w:val="0"/>
                <w:sz w:val="28"/>
                <w:szCs w:val="28"/>
              </w:rPr>
              <w:t>72</w:t>
            </w:r>
          </w:p>
        </w:tc>
      </w:tr>
      <w:tr w14:paraId="16018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15D4B96A">
            <w:pPr>
              <w:widowControl/>
              <w:adjustRightInd w:val="0"/>
              <w:snapToGrid w:val="0"/>
              <w:ind w:firstLine="480" w:firstLineChars="200"/>
              <w:rPr>
                <w:rFonts w:ascii="仿宋_GB2312" w:hAnsi="仿宋_GB2312" w:eastAsia="仿宋_GB2312" w:cs="仿宋_GB2312"/>
                <w:kern w:val="0"/>
                <w:sz w:val="24"/>
              </w:rPr>
            </w:pPr>
          </w:p>
        </w:tc>
        <w:tc>
          <w:tcPr>
            <w:tcW w:w="1724" w:type="dxa"/>
            <w:vAlign w:val="center"/>
          </w:tcPr>
          <w:p w14:paraId="5B504171">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D15</w:t>
            </w:r>
          </w:p>
        </w:tc>
        <w:tc>
          <w:tcPr>
            <w:tcW w:w="1724" w:type="dxa"/>
            <w:vAlign w:val="center"/>
          </w:tcPr>
          <w:p w14:paraId="044BA677">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2547563.</w:t>
            </w:r>
            <w:r>
              <w:rPr>
                <w:rFonts w:ascii="Times New Roman" w:hAnsi="Times New Roman" w:eastAsia="微软雅黑"/>
                <w:kern w:val="0"/>
                <w:sz w:val="28"/>
                <w:szCs w:val="28"/>
              </w:rPr>
              <w:t>68</w:t>
            </w:r>
          </w:p>
        </w:tc>
        <w:tc>
          <w:tcPr>
            <w:tcW w:w="1724" w:type="dxa"/>
            <w:vAlign w:val="center"/>
          </w:tcPr>
          <w:p w14:paraId="642FB8C4">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57775</w:t>
            </w:r>
            <w:r>
              <w:rPr>
                <w:rFonts w:ascii="Times New Roman" w:hAnsi="Times New Roman" w:eastAsia="微软雅黑"/>
                <w:kern w:val="0"/>
                <w:sz w:val="28"/>
                <w:szCs w:val="28"/>
              </w:rPr>
              <w:t>3</w:t>
            </w:r>
            <w:r>
              <w:rPr>
                <w:rFonts w:hint="eastAsia" w:ascii="Times New Roman" w:hAnsi="Times New Roman" w:eastAsia="微软雅黑"/>
                <w:kern w:val="0"/>
                <w:sz w:val="28"/>
                <w:szCs w:val="28"/>
              </w:rPr>
              <w:t>.1</w:t>
            </w:r>
            <w:r>
              <w:rPr>
                <w:rFonts w:ascii="Times New Roman" w:hAnsi="Times New Roman" w:eastAsia="微软雅黑"/>
                <w:kern w:val="0"/>
                <w:sz w:val="28"/>
                <w:szCs w:val="28"/>
              </w:rPr>
              <w:t>1</w:t>
            </w:r>
          </w:p>
        </w:tc>
      </w:tr>
      <w:tr w14:paraId="6BC91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27127DFD">
            <w:pPr>
              <w:widowControl/>
              <w:adjustRightInd w:val="0"/>
              <w:snapToGrid w:val="0"/>
              <w:ind w:firstLine="480" w:firstLineChars="200"/>
              <w:rPr>
                <w:rFonts w:ascii="仿宋_GB2312" w:hAnsi="仿宋_GB2312" w:eastAsia="仿宋_GB2312" w:cs="仿宋_GB2312"/>
                <w:kern w:val="0"/>
                <w:sz w:val="24"/>
              </w:rPr>
            </w:pPr>
          </w:p>
        </w:tc>
        <w:tc>
          <w:tcPr>
            <w:tcW w:w="1724" w:type="dxa"/>
            <w:vAlign w:val="center"/>
          </w:tcPr>
          <w:p w14:paraId="33E33CBE">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D16</w:t>
            </w:r>
          </w:p>
        </w:tc>
        <w:tc>
          <w:tcPr>
            <w:tcW w:w="1724" w:type="dxa"/>
            <w:vAlign w:val="center"/>
          </w:tcPr>
          <w:p w14:paraId="031E7C91">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254736</w:t>
            </w:r>
            <w:r>
              <w:rPr>
                <w:rFonts w:ascii="Times New Roman" w:hAnsi="Times New Roman" w:eastAsia="微软雅黑"/>
                <w:kern w:val="0"/>
                <w:sz w:val="28"/>
                <w:szCs w:val="28"/>
              </w:rPr>
              <w:t>1</w:t>
            </w:r>
            <w:r>
              <w:rPr>
                <w:rFonts w:hint="eastAsia" w:ascii="Times New Roman" w:hAnsi="Times New Roman" w:eastAsia="微软雅黑"/>
                <w:kern w:val="0"/>
                <w:sz w:val="28"/>
                <w:szCs w:val="28"/>
              </w:rPr>
              <w:t>.</w:t>
            </w:r>
            <w:r>
              <w:rPr>
                <w:rFonts w:ascii="Times New Roman" w:hAnsi="Times New Roman" w:eastAsia="微软雅黑"/>
                <w:kern w:val="0"/>
                <w:sz w:val="28"/>
                <w:szCs w:val="28"/>
              </w:rPr>
              <w:t>62</w:t>
            </w:r>
          </w:p>
        </w:tc>
        <w:tc>
          <w:tcPr>
            <w:tcW w:w="1724" w:type="dxa"/>
            <w:vAlign w:val="center"/>
          </w:tcPr>
          <w:p w14:paraId="4DE2CFCD">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57770</w:t>
            </w:r>
            <w:r>
              <w:rPr>
                <w:rFonts w:ascii="Times New Roman" w:hAnsi="Times New Roman" w:eastAsia="微软雅黑"/>
                <w:kern w:val="0"/>
                <w:sz w:val="28"/>
                <w:szCs w:val="28"/>
              </w:rPr>
              <w:t>4</w:t>
            </w:r>
            <w:r>
              <w:rPr>
                <w:rFonts w:hint="eastAsia" w:ascii="Times New Roman" w:hAnsi="Times New Roman" w:eastAsia="微软雅黑"/>
                <w:kern w:val="0"/>
                <w:sz w:val="28"/>
                <w:szCs w:val="28"/>
              </w:rPr>
              <w:t>.</w:t>
            </w:r>
            <w:r>
              <w:rPr>
                <w:rFonts w:ascii="Times New Roman" w:hAnsi="Times New Roman" w:eastAsia="微软雅黑"/>
                <w:kern w:val="0"/>
                <w:sz w:val="28"/>
                <w:szCs w:val="28"/>
              </w:rPr>
              <w:t>96</w:t>
            </w:r>
          </w:p>
        </w:tc>
      </w:tr>
      <w:tr w14:paraId="0C4E5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6AFE6908">
            <w:pPr>
              <w:widowControl/>
              <w:adjustRightInd w:val="0"/>
              <w:snapToGrid w:val="0"/>
              <w:ind w:firstLine="480" w:firstLineChars="200"/>
              <w:rPr>
                <w:rFonts w:ascii="仿宋_GB2312" w:hAnsi="仿宋_GB2312" w:eastAsia="仿宋_GB2312" w:cs="仿宋_GB2312"/>
                <w:kern w:val="0"/>
                <w:sz w:val="24"/>
              </w:rPr>
            </w:pPr>
          </w:p>
        </w:tc>
        <w:tc>
          <w:tcPr>
            <w:tcW w:w="1724" w:type="dxa"/>
            <w:vAlign w:val="center"/>
          </w:tcPr>
          <w:p w14:paraId="4525E9F4">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D17</w:t>
            </w:r>
          </w:p>
        </w:tc>
        <w:tc>
          <w:tcPr>
            <w:tcW w:w="1724" w:type="dxa"/>
            <w:vAlign w:val="center"/>
          </w:tcPr>
          <w:p w14:paraId="7ABE457E">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254718</w:t>
            </w:r>
            <w:r>
              <w:rPr>
                <w:rFonts w:ascii="Times New Roman" w:hAnsi="Times New Roman" w:eastAsia="微软雅黑"/>
                <w:kern w:val="0"/>
                <w:sz w:val="28"/>
                <w:szCs w:val="28"/>
              </w:rPr>
              <w:t>1</w:t>
            </w:r>
            <w:r>
              <w:rPr>
                <w:rFonts w:hint="eastAsia" w:ascii="Times New Roman" w:hAnsi="Times New Roman" w:eastAsia="微软雅黑"/>
                <w:kern w:val="0"/>
                <w:sz w:val="28"/>
                <w:szCs w:val="28"/>
              </w:rPr>
              <w:t>.</w:t>
            </w:r>
            <w:r>
              <w:rPr>
                <w:rFonts w:ascii="Times New Roman" w:hAnsi="Times New Roman" w:eastAsia="微软雅黑"/>
                <w:kern w:val="0"/>
                <w:sz w:val="28"/>
                <w:szCs w:val="28"/>
              </w:rPr>
              <w:t>82</w:t>
            </w:r>
          </w:p>
        </w:tc>
        <w:tc>
          <w:tcPr>
            <w:tcW w:w="1724" w:type="dxa"/>
            <w:vAlign w:val="center"/>
          </w:tcPr>
          <w:p w14:paraId="1B7E196F">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57761</w:t>
            </w:r>
            <w:r>
              <w:rPr>
                <w:rFonts w:ascii="Times New Roman" w:hAnsi="Times New Roman" w:eastAsia="微软雅黑"/>
                <w:kern w:val="0"/>
                <w:sz w:val="28"/>
                <w:szCs w:val="28"/>
              </w:rPr>
              <w:t>1</w:t>
            </w:r>
            <w:r>
              <w:rPr>
                <w:rFonts w:hint="eastAsia" w:ascii="Times New Roman" w:hAnsi="Times New Roman" w:eastAsia="微软雅黑"/>
                <w:kern w:val="0"/>
                <w:sz w:val="28"/>
                <w:szCs w:val="28"/>
              </w:rPr>
              <w:t>.</w:t>
            </w:r>
            <w:r>
              <w:rPr>
                <w:rFonts w:ascii="Times New Roman" w:hAnsi="Times New Roman" w:eastAsia="微软雅黑"/>
                <w:kern w:val="0"/>
                <w:sz w:val="28"/>
                <w:szCs w:val="28"/>
              </w:rPr>
              <w:t>90</w:t>
            </w:r>
          </w:p>
        </w:tc>
      </w:tr>
      <w:tr w14:paraId="421FE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784DE7FB">
            <w:pPr>
              <w:widowControl/>
              <w:adjustRightInd w:val="0"/>
              <w:snapToGrid w:val="0"/>
              <w:ind w:firstLine="480" w:firstLineChars="200"/>
              <w:rPr>
                <w:rFonts w:ascii="仿宋_GB2312" w:hAnsi="仿宋_GB2312" w:eastAsia="仿宋_GB2312" w:cs="仿宋_GB2312"/>
                <w:kern w:val="0"/>
                <w:sz w:val="24"/>
              </w:rPr>
            </w:pPr>
          </w:p>
        </w:tc>
        <w:tc>
          <w:tcPr>
            <w:tcW w:w="1724" w:type="dxa"/>
            <w:vAlign w:val="center"/>
          </w:tcPr>
          <w:p w14:paraId="1C44D149">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D18</w:t>
            </w:r>
          </w:p>
        </w:tc>
        <w:tc>
          <w:tcPr>
            <w:tcW w:w="1724" w:type="dxa"/>
            <w:vAlign w:val="center"/>
          </w:tcPr>
          <w:p w14:paraId="4BDA2D38">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25471</w:t>
            </w:r>
            <w:r>
              <w:rPr>
                <w:rFonts w:ascii="Times New Roman" w:hAnsi="Times New Roman" w:eastAsia="微软雅黑"/>
                <w:kern w:val="0"/>
                <w:sz w:val="28"/>
                <w:szCs w:val="28"/>
              </w:rPr>
              <w:t>50</w:t>
            </w:r>
            <w:r>
              <w:rPr>
                <w:rFonts w:hint="eastAsia" w:ascii="Times New Roman" w:hAnsi="Times New Roman" w:eastAsia="微软雅黑"/>
                <w:kern w:val="0"/>
                <w:sz w:val="28"/>
                <w:szCs w:val="28"/>
              </w:rPr>
              <w:t>.</w:t>
            </w:r>
            <w:r>
              <w:rPr>
                <w:rFonts w:ascii="Times New Roman" w:hAnsi="Times New Roman" w:eastAsia="微软雅黑"/>
                <w:kern w:val="0"/>
                <w:sz w:val="28"/>
                <w:szCs w:val="28"/>
              </w:rPr>
              <w:t>69</w:t>
            </w:r>
          </w:p>
        </w:tc>
        <w:tc>
          <w:tcPr>
            <w:tcW w:w="1724" w:type="dxa"/>
            <w:vAlign w:val="center"/>
          </w:tcPr>
          <w:p w14:paraId="6BF1FD0E">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57759</w:t>
            </w:r>
            <w:r>
              <w:rPr>
                <w:rFonts w:ascii="Times New Roman" w:hAnsi="Times New Roman" w:eastAsia="微软雅黑"/>
                <w:kern w:val="0"/>
                <w:sz w:val="28"/>
                <w:szCs w:val="28"/>
              </w:rPr>
              <w:t>0</w:t>
            </w:r>
            <w:r>
              <w:rPr>
                <w:rFonts w:hint="eastAsia" w:ascii="Times New Roman" w:hAnsi="Times New Roman" w:eastAsia="微软雅黑"/>
                <w:kern w:val="0"/>
                <w:sz w:val="28"/>
                <w:szCs w:val="28"/>
              </w:rPr>
              <w:t>.</w:t>
            </w:r>
            <w:r>
              <w:rPr>
                <w:rFonts w:ascii="Times New Roman" w:hAnsi="Times New Roman" w:eastAsia="微软雅黑"/>
                <w:kern w:val="0"/>
                <w:sz w:val="28"/>
                <w:szCs w:val="28"/>
              </w:rPr>
              <w:t>44</w:t>
            </w:r>
          </w:p>
        </w:tc>
      </w:tr>
      <w:tr w14:paraId="0B9E4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5806331A">
            <w:pPr>
              <w:widowControl/>
              <w:adjustRightInd w:val="0"/>
              <w:snapToGrid w:val="0"/>
              <w:ind w:firstLine="480" w:firstLineChars="200"/>
              <w:rPr>
                <w:rFonts w:ascii="仿宋_GB2312" w:hAnsi="仿宋_GB2312" w:eastAsia="仿宋_GB2312" w:cs="仿宋_GB2312"/>
                <w:kern w:val="0"/>
                <w:sz w:val="24"/>
              </w:rPr>
            </w:pPr>
          </w:p>
        </w:tc>
        <w:tc>
          <w:tcPr>
            <w:tcW w:w="1724" w:type="dxa"/>
            <w:vAlign w:val="center"/>
          </w:tcPr>
          <w:p w14:paraId="5BD1F35A">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D19</w:t>
            </w:r>
          </w:p>
        </w:tc>
        <w:tc>
          <w:tcPr>
            <w:tcW w:w="1724" w:type="dxa"/>
            <w:vAlign w:val="center"/>
          </w:tcPr>
          <w:p w14:paraId="6970FE63">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254710</w:t>
            </w:r>
            <w:r>
              <w:rPr>
                <w:rFonts w:ascii="Times New Roman" w:hAnsi="Times New Roman" w:eastAsia="微软雅黑"/>
                <w:kern w:val="0"/>
                <w:sz w:val="28"/>
                <w:szCs w:val="28"/>
              </w:rPr>
              <w:t>6</w:t>
            </w:r>
            <w:r>
              <w:rPr>
                <w:rFonts w:hint="eastAsia" w:ascii="Times New Roman" w:hAnsi="Times New Roman" w:eastAsia="微软雅黑"/>
                <w:kern w:val="0"/>
                <w:sz w:val="28"/>
                <w:szCs w:val="28"/>
              </w:rPr>
              <w:t>.</w:t>
            </w:r>
            <w:r>
              <w:rPr>
                <w:rFonts w:ascii="Times New Roman" w:hAnsi="Times New Roman" w:eastAsia="微软雅黑"/>
                <w:kern w:val="0"/>
                <w:sz w:val="28"/>
                <w:szCs w:val="28"/>
              </w:rPr>
              <w:t>49</w:t>
            </w:r>
          </w:p>
        </w:tc>
        <w:tc>
          <w:tcPr>
            <w:tcW w:w="1724" w:type="dxa"/>
            <w:vAlign w:val="center"/>
          </w:tcPr>
          <w:p w14:paraId="7876B85A">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57754</w:t>
            </w:r>
            <w:r>
              <w:rPr>
                <w:rFonts w:ascii="Times New Roman" w:hAnsi="Times New Roman" w:eastAsia="微软雅黑"/>
                <w:kern w:val="0"/>
                <w:sz w:val="28"/>
                <w:szCs w:val="28"/>
              </w:rPr>
              <w:t>1</w:t>
            </w:r>
            <w:r>
              <w:rPr>
                <w:rFonts w:hint="eastAsia" w:ascii="Times New Roman" w:hAnsi="Times New Roman" w:eastAsia="微软雅黑"/>
                <w:kern w:val="0"/>
                <w:sz w:val="28"/>
                <w:szCs w:val="28"/>
              </w:rPr>
              <w:t>.</w:t>
            </w:r>
            <w:r>
              <w:rPr>
                <w:rFonts w:ascii="Times New Roman" w:hAnsi="Times New Roman" w:eastAsia="微软雅黑"/>
                <w:kern w:val="0"/>
                <w:sz w:val="28"/>
                <w:szCs w:val="28"/>
              </w:rPr>
              <w:t>53</w:t>
            </w:r>
          </w:p>
        </w:tc>
      </w:tr>
      <w:tr w14:paraId="601FF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317F05F9">
            <w:pPr>
              <w:widowControl/>
              <w:adjustRightInd w:val="0"/>
              <w:snapToGrid w:val="0"/>
              <w:ind w:firstLine="480" w:firstLineChars="200"/>
              <w:rPr>
                <w:rFonts w:ascii="仿宋_GB2312" w:hAnsi="仿宋_GB2312" w:eastAsia="仿宋_GB2312" w:cs="仿宋_GB2312"/>
                <w:kern w:val="0"/>
                <w:sz w:val="24"/>
              </w:rPr>
            </w:pPr>
          </w:p>
        </w:tc>
        <w:tc>
          <w:tcPr>
            <w:tcW w:w="1724" w:type="dxa"/>
            <w:vAlign w:val="center"/>
          </w:tcPr>
          <w:p w14:paraId="45FB3834">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D20</w:t>
            </w:r>
          </w:p>
        </w:tc>
        <w:tc>
          <w:tcPr>
            <w:tcW w:w="1724" w:type="dxa"/>
            <w:vAlign w:val="center"/>
          </w:tcPr>
          <w:p w14:paraId="01EF1AF6">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254704</w:t>
            </w:r>
            <w:r>
              <w:rPr>
                <w:rFonts w:ascii="Times New Roman" w:hAnsi="Times New Roman" w:eastAsia="微软雅黑"/>
                <w:kern w:val="0"/>
                <w:sz w:val="28"/>
                <w:szCs w:val="28"/>
              </w:rPr>
              <w:t>4</w:t>
            </w:r>
            <w:r>
              <w:rPr>
                <w:rFonts w:hint="eastAsia" w:ascii="Times New Roman" w:hAnsi="Times New Roman" w:eastAsia="微软雅黑"/>
                <w:kern w:val="0"/>
                <w:sz w:val="28"/>
                <w:szCs w:val="28"/>
              </w:rPr>
              <w:t>.</w:t>
            </w:r>
            <w:r>
              <w:rPr>
                <w:rFonts w:ascii="Times New Roman" w:hAnsi="Times New Roman" w:eastAsia="微软雅黑"/>
                <w:kern w:val="0"/>
                <w:sz w:val="28"/>
                <w:szCs w:val="28"/>
              </w:rPr>
              <w:t>86</w:t>
            </w:r>
          </w:p>
        </w:tc>
        <w:tc>
          <w:tcPr>
            <w:tcW w:w="1724" w:type="dxa"/>
            <w:vAlign w:val="center"/>
          </w:tcPr>
          <w:p w14:paraId="119C103D">
            <w:pPr>
              <w:widowControl/>
              <w:adjustRightInd w:val="0"/>
              <w:snapToGrid w:val="0"/>
              <w:jc w:val="center"/>
              <w:rPr>
                <w:rFonts w:ascii="Times New Roman" w:hAnsi="Times New Roman" w:eastAsia="微软雅黑"/>
                <w:kern w:val="0"/>
                <w:sz w:val="28"/>
                <w:szCs w:val="28"/>
              </w:rPr>
            </w:pPr>
            <w:r>
              <w:rPr>
                <w:rFonts w:hint="eastAsia" w:ascii="Times New Roman" w:hAnsi="Times New Roman" w:eastAsia="微软雅黑"/>
                <w:kern w:val="0"/>
                <w:sz w:val="28"/>
                <w:szCs w:val="28"/>
              </w:rPr>
              <w:t>57745</w:t>
            </w:r>
            <w:r>
              <w:rPr>
                <w:rFonts w:ascii="Times New Roman" w:hAnsi="Times New Roman" w:eastAsia="微软雅黑"/>
                <w:kern w:val="0"/>
                <w:sz w:val="28"/>
                <w:szCs w:val="28"/>
              </w:rPr>
              <w:t>7</w:t>
            </w:r>
            <w:r>
              <w:rPr>
                <w:rFonts w:hint="eastAsia" w:ascii="Times New Roman" w:hAnsi="Times New Roman" w:eastAsia="微软雅黑"/>
                <w:kern w:val="0"/>
                <w:sz w:val="28"/>
                <w:szCs w:val="28"/>
              </w:rPr>
              <w:t>.</w:t>
            </w:r>
            <w:r>
              <w:rPr>
                <w:rFonts w:ascii="Times New Roman" w:hAnsi="Times New Roman" w:eastAsia="微软雅黑"/>
                <w:kern w:val="0"/>
                <w:sz w:val="28"/>
                <w:szCs w:val="28"/>
              </w:rPr>
              <w:t>59</w:t>
            </w:r>
          </w:p>
        </w:tc>
      </w:tr>
    </w:tbl>
    <w:p w14:paraId="1E9ADD72">
      <w:pPr>
        <w:pStyle w:val="5"/>
        <w:shd w:val="clear" w:color="auto" w:fill="FFFFFF"/>
        <w:jc w:val="both"/>
        <w:rPr>
          <w:rFonts w:ascii="仿宋" w:hAnsi="仿宋" w:eastAsia="仿宋"/>
          <w:sz w:val="32"/>
          <w:szCs w:val="32"/>
        </w:rPr>
      </w:pPr>
    </w:p>
    <w:p w14:paraId="0640F6E6">
      <w:pPr>
        <w:pStyle w:val="5"/>
        <w:shd w:val="clear" w:color="auto" w:fill="FFFFFF"/>
        <w:overflowPunct w:val="0"/>
        <w:ind w:firstLine="641"/>
        <w:jc w:val="both"/>
        <w:rPr>
          <w:rFonts w:ascii="仿宋" w:hAnsi="仿宋" w:eastAsia="仿宋" w:cs="仿宋"/>
          <w:bCs/>
          <w:sz w:val="32"/>
          <w:szCs w:val="32"/>
        </w:rPr>
      </w:pPr>
      <w:r>
        <w:rPr>
          <w:rFonts w:hint="eastAsia" w:ascii="仿宋" w:hAnsi="仿宋" w:eastAsia="仿宋" w:cs="仿宋"/>
          <w:sz w:val="32"/>
          <w:szCs w:val="32"/>
          <w:shd w:val="clear" w:color="auto" w:fill="FFFFFF"/>
        </w:rPr>
        <w:t>三、</w:t>
      </w:r>
      <w:r>
        <w:rPr>
          <w:rFonts w:hint="eastAsia" w:ascii="仿宋_GB2312" w:hAnsi="仿宋_GB2312" w:eastAsia="仿宋_GB2312" w:cs="仿宋_GB2312"/>
          <w:sz w:val="32"/>
          <w:szCs w:val="32"/>
          <w:shd w:val="clear" w:color="auto" w:fill="FFFFFF"/>
        </w:rPr>
        <w:t>竞买人应在挂牌竞价结束后5个工作日内在云浮市公共资源交易服务平台和向出让方提交以下资料：</w:t>
      </w:r>
    </w:p>
    <w:p w14:paraId="7622E82B">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（一）《河砂竞买申请书》;</w:t>
      </w:r>
    </w:p>
    <w:p w14:paraId="3A76741B">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（二）有经营河砂业务的营业执照（核原件）、统一社会信用代码证复印件（核原件）、法定代表人身份证明及身份证复印件；</w:t>
      </w:r>
    </w:p>
    <w:p w14:paraId="32D27744">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（三）委托代理的还应提交法人授权委托书(原件)及代理人身份证复印件(核原件);</w:t>
      </w:r>
    </w:p>
    <w:p w14:paraId="16E03E20">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(四)交付竞买保证金的银行回执;</w:t>
      </w:r>
    </w:p>
    <w:p w14:paraId="48B73BF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(五)采砂船舶所有权证书、检验合格证书(其中每艘采砂船采砂设备总功率不得大于150kw);</w:t>
      </w:r>
    </w:p>
    <w:p w14:paraId="4BDF70DE">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(六)202</w:t>
      </w:r>
      <w:r>
        <w:rPr>
          <w:rFonts w:ascii="仿宋" w:hAnsi="仿宋" w:eastAsia="仿宋" w:cs="仿宋"/>
          <w:sz w:val="32"/>
          <w:szCs w:val="32"/>
        </w:rPr>
        <w:t>2</w:t>
      </w:r>
      <w:r>
        <w:rPr>
          <w:rFonts w:hint="eastAsia" w:ascii="仿宋" w:hAnsi="仿宋" w:eastAsia="仿宋" w:cs="仿宋"/>
          <w:sz w:val="32"/>
          <w:szCs w:val="32"/>
        </w:rPr>
        <w:t>年以来没有违法采砂等的声明承诺书(原件);</w:t>
      </w:r>
    </w:p>
    <w:p w14:paraId="0F0608D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(七)送达地址确认书。</w:t>
      </w:r>
    </w:p>
    <w:p w14:paraId="1DA84478">
      <w:pPr>
        <w:wordWrap w:val="0"/>
        <w:spacing w:line="360" w:lineRule="auto"/>
        <w:ind w:firstLine="640" w:firstLineChars="200"/>
        <w:rPr>
          <w:rFonts w:ascii="宋体" w:hAnsi="宋体" w:cs="宋体"/>
          <w:spacing w:val="-2"/>
        </w:rPr>
      </w:pPr>
      <w:r>
        <w:rPr>
          <w:rFonts w:hint="eastAsia" w:ascii="仿宋" w:hAnsi="仿宋" w:eastAsia="仿宋" w:cs="仿宋"/>
          <w:sz w:val="32"/>
          <w:szCs w:val="32"/>
        </w:rPr>
        <w:t>可在云浮市公共资源交易服务平台、广东省公共资源交易平台下载相关资料。网址</w:t>
      </w:r>
      <w:r>
        <w:rPr>
          <w:rFonts w:ascii="仿宋" w:hAnsi="仿宋" w:eastAsia="仿宋" w:cs="仿宋"/>
          <w:sz w:val="32"/>
          <w:szCs w:val="32"/>
        </w:rPr>
        <w:t>:</w:t>
      </w:r>
      <w:r>
        <w:rPr>
          <w:rFonts w:hint="eastAsia" w:ascii="仿宋" w:hAnsi="仿宋" w:eastAsia="仿宋" w:cs="仿宋"/>
          <w:sz w:val="32"/>
          <w:szCs w:val="32"/>
        </w:rPr>
        <w:t>（https://jyzx.yunfu.gov.cn/portal/）、（https://ygp.gdzwfw.gov.cn/ggzy-portal/index.html#/445300/jyxt）。</w:t>
      </w:r>
    </w:p>
    <w:p w14:paraId="407616F9">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四、资格审查</w:t>
      </w:r>
    </w:p>
    <w:p w14:paraId="3BB34AD0">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本次挂牌活动实行资格后审。出让人收到竞得人相关资料5个工作日内对竞得人资料进行审查,</w:t>
      </w:r>
      <w:r>
        <w:rPr>
          <w:rFonts w:hint="eastAsia" w:ascii="仿宋" w:hAnsi="仿宋" w:eastAsia="仿宋" w:cs="仿宋_GB2312"/>
          <w:sz w:val="32"/>
          <w:szCs w:val="32"/>
          <w:shd w:val="clear" w:color="auto" w:fill="FFFFFF"/>
        </w:rPr>
        <w:t>通过后报云浮市水务局进行最终审查许可发证，</w:t>
      </w:r>
      <w:r>
        <w:rPr>
          <w:rFonts w:hint="eastAsia" w:ascii="仿宋" w:hAnsi="仿宋" w:eastAsia="仿宋" w:cs="仿宋"/>
          <w:sz w:val="32"/>
          <w:szCs w:val="32"/>
        </w:rPr>
        <w:t>若竞得人不提交资料或提交的资料不符合挂牌公告和本须知等挂牌资料有关要求的,视为违约,竞得人缴交的保证金不予退还,并按有关法律规定处理。</w:t>
      </w:r>
    </w:p>
    <w:p w14:paraId="5FED1FFF">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五、竞买保证金</w:t>
      </w:r>
    </w:p>
    <w:p w14:paraId="55AB6F3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(一)竞买保证金为人民币</w:t>
      </w:r>
      <w:r>
        <w:rPr>
          <w:rFonts w:hint="eastAsia" w:ascii="仿宋_GB2312" w:hAnsi="仿宋_GB2312" w:eastAsia="仿宋_GB2312" w:cs="仿宋_GB2312"/>
          <w:sz w:val="32"/>
          <w:szCs w:val="32"/>
        </w:rPr>
        <w:t>171.072</w:t>
      </w:r>
      <w:r>
        <w:rPr>
          <w:rFonts w:hint="eastAsia" w:ascii="仿宋" w:hAnsi="仿宋" w:eastAsia="仿宋" w:cs="仿宋"/>
          <w:sz w:val="32"/>
          <w:szCs w:val="32"/>
        </w:rPr>
        <w:t>万元。</w:t>
      </w:r>
    </w:p>
    <w:p w14:paraId="1076451B">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(二)竞买保证金缴付账户</w:t>
      </w:r>
    </w:p>
    <w:p w14:paraId="412FEB9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开户单位:云浮市公共资源交易中心</w:t>
      </w:r>
    </w:p>
    <w:p w14:paraId="58B530E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开户银行:由竞买人在网上挂牌交易系统自行选择;</w:t>
      </w:r>
    </w:p>
    <w:p w14:paraId="237BD01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账号:网上挂牌交易系统随机产生的子账号。</w:t>
      </w:r>
    </w:p>
    <w:p w14:paraId="6D655B9D">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(三)交纳竞买保证金、提出竞买申请的截止时间:2025年</w:t>
      </w:r>
      <w:r>
        <w:rPr>
          <w:rFonts w:ascii="仿宋" w:hAnsi="仿宋" w:eastAsia="仿宋" w:cs="仿宋"/>
          <w:sz w:val="32"/>
          <w:szCs w:val="32"/>
          <w:u w:val="single"/>
        </w:rPr>
        <w:t>5</w:t>
      </w:r>
      <w:r>
        <w:rPr>
          <w:rFonts w:hint="eastAsia" w:ascii="仿宋" w:hAnsi="仿宋" w:eastAsia="仿宋" w:cs="仿宋"/>
          <w:sz w:val="32"/>
          <w:szCs w:val="32"/>
        </w:rPr>
        <w:t>月</w:t>
      </w:r>
      <w:r>
        <w:rPr>
          <w:rFonts w:ascii="仿宋" w:hAnsi="仿宋" w:eastAsia="仿宋" w:cs="仿宋"/>
          <w:sz w:val="32"/>
          <w:szCs w:val="32"/>
          <w:u w:val="single"/>
        </w:rPr>
        <w:t>14</w:t>
      </w:r>
      <w:r>
        <w:rPr>
          <w:rFonts w:hint="eastAsia" w:ascii="仿宋" w:hAnsi="仿宋" w:eastAsia="仿宋" w:cs="仿宋"/>
          <w:sz w:val="32"/>
          <w:szCs w:val="32"/>
        </w:rPr>
        <w:t>日下午15时00分(以到账为准)。</w:t>
      </w:r>
    </w:p>
    <w:p w14:paraId="160C7F19">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六、竞买人对提交的所有资料的合法性、真实性、完整性、有效性负责,并承担相应的法律责任。</w:t>
      </w:r>
    </w:p>
    <w:p w14:paraId="1F812865">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七、竞买人报价</w:t>
      </w:r>
    </w:p>
    <w:p w14:paraId="291CC560">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(一)竞买人交纳的竞买保证金到账后,网上才能自动确认其竞买资格,在银行汇款凭证的附言注明竞买标的物挂牌编号。</w:t>
      </w:r>
    </w:p>
    <w:p w14:paraId="1528CD21">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(二)报价规则:</w:t>
      </w:r>
      <w:r>
        <w:rPr>
          <w:rFonts w:hint="eastAsia" w:ascii="仿宋" w:hAnsi="仿宋" w:eastAsia="仿宋" w:cs="仿宋_GB2312"/>
          <w:kern w:val="0"/>
          <w:sz w:val="32"/>
          <w:szCs w:val="32"/>
        </w:rPr>
        <w:t>挂牌以价高者得为原则确定竞得人,挂牌期限届满，若只有一个竞买人报价，且不低于起始价的即可作为最高有效报价（详见《操作手册》矿业权交易中的如何网上报价）；若在挂牌期间有两个以上竞买人报价的，则以增价方式允许多次报价，最后由最高报价者竞得（详见《操作手册》矿业权中的如何参与和进行延时竞价）。</w:t>
      </w:r>
    </w:p>
    <w:p w14:paraId="58EBBB5E">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网上报价和网上延时竞价中报价遵循以下规则：</w:t>
      </w:r>
    </w:p>
    <w:p w14:paraId="1F5B789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1、按增价方式进行报价；</w:t>
      </w:r>
    </w:p>
    <w:p w14:paraId="28E03D8B">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2、初次报价不得低于起始价;</w:t>
      </w:r>
    </w:p>
    <w:p w14:paraId="24C910C4">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3、竞买人可多次报价;</w:t>
      </w:r>
    </w:p>
    <w:p w14:paraId="2A7760F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4、每次报价应当比当前最高报价递增最少人民币10万元或其整数倍跨台阶报价。</w:t>
      </w:r>
    </w:p>
    <w:p w14:paraId="1EB31815">
      <w:pPr>
        <w:pStyle w:val="11"/>
        <w:snapToGrid w:val="0"/>
        <w:spacing w:line="560" w:lineRule="exact"/>
        <w:ind w:firstLine="521" w:firstLineChars="163"/>
        <w:rPr>
          <w:rFonts w:ascii="仿宋" w:hAnsi="仿宋" w:eastAsia="仿宋" w:cs="宋体"/>
        </w:rPr>
      </w:pPr>
      <w:r>
        <w:rPr>
          <w:rFonts w:hint="eastAsia" w:ascii="仿宋" w:hAnsi="仿宋" w:eastAsia="仿宋" w:cs="仿宋_GB2312"/>
        </w:rPr>
        <w:t>竞买人的报价一经提交并经云浮市公共资源电子交易平台记录即视为有效报价，不得撤回。当挂牌截止时间结束后，自动进入“延时竞价”环节，延时竞价周期5分钟。在此期间若任意竞买人有新报出价，则所有竞买人立即进入延时竞价5分钟重新计时，延时竞价环节结束后，系统自动显示竞价结果待公布状态，需要等待中心公布竞价结果。</w:t>
      </w:r>
    </w:p>
    <w:p w14:paraId="256E4507">
      <w:pPr>
        <w:spacing w:line="600" w:lineRule="exact"/>
        <w:ind w:right="-334" w:rightChars="-159"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交易刚开始时，如果当前尚未有竞买人出价，则任何具备竞买资格的</w:t>
      </w:r>
      <w:r>
        <w:rPr>
          <w:rFonts w:hint="eastAsia" w:ascii="仿宋" w:hAnsi="仿宋" w:eastAsia="仿宋" w:cs="仿宋_GB2312"/>
          <w:sz w:val="32"/>
          <w:szCs w:val="32"/>
        </w:rPr>
        <w:t>竞买人</w:t>
      </w:r>
      <w:r>
        <w:rPr>
          <w:rFonts w:hint="eastAsia" w:ascii="仿宋" w:hAnsi="仿宋" w:eastAsia="仿宋" w:cs="仿宋_GB2312"/>
          <w:kern w:val="0"/>
          <w:sz w:val="32"/>
          <w:szCs w:val="32"/>
        </w:rPr>
        <w:t>都可以以最低起始价报价。(注意:</w:t>
      </w:r>
      <w:r>
        <w:rPr>
          <w:rFonts w:hint="eastAsia" w:ascii="仿宋" w:hAnsi="仿宋" w:eastAsia="仿宋" w:cs="仿宋_GB2312"/>
          <w:sz w:val="32"/>
          <w:szCs w:val="32"/>
          <w:shd w:val="clear" w:color="auto" w:fill="FFFFFF"/>
        </w:rPr>
        <w:t>本次挂牌出让实行资格后审,竞买人需报价前需详细阅读挂牌公告及附件等出让资料。</w:t>
      </w:r>
      <w:r>
        <w:rPr>
          <w:rFonts w:hint="eastAsia" w:ascii="仿宋" w:hAnsi="仿宋" w:eastAsia="仿宋" w:cs="仿宋_GB2312"/>
          <w:kern w:val="0"/>
          <w:sz w:val="32"/>
          <w:szCs w:val="32"/>
        </w:rPr>
        <w:t>)</w:t>
      </w:r>
    </w:p>
    <w:p w14:paraId="24EE2934">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如果最新报价是当前竞买人的报价，则该竞买人不能进行连续报价。只有其他竞买人报价后，该竞买人才能继续竞价。</w:t>
      </w:r>
    </w:p>
    <w:p w14:paraId="276AFD56">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八、成交确认</w:t>
      </w:r>
    </w:p>
    <w:p w14:paraId="6FD341D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竞得人经资格后审合格后应在5个工作日内与出让方签署《成交确认书》。竞得人拒签《成交确认书》的，按违约处理，竞买保证金不予退还，转交出让方按有关规定处理。经资格后审竞得人不符合竞买资格条件的，取消竞得资格，竞买保证金不予退还，转交出让方按有关规定处理，并追究其相应法律责任。</w:t>
      </w:r>
    </w:p>
    <w:p w14:paraId="4138D214">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竞得人签定《成交确认书》后5个工作日内必须与出让方签订《河砂开采权出让合同》，在签订《河砂开采权出让合同》时，不得对《河砂开采权出让合同》作出与信息公告内容有实质性的修改。竞得人在规定期限内不签订《河砂开采权出让合同》，按违约处理，竞买保证金不予退还，转交出让方，按有关规定处理。</w:t>
      </w:r>
    </w:p>
    <w:p w14:paraId="24ED237D">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九、交付合同价款</w:t>
      </w:r>
    </w:p>
    <w:p w14:paraId="128EA7DE">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成交后竞得人的保证金转作合同价款，由郁南县水务局出具相关证明，竞得人凭相关证明、成交确认书及竞买保证金进账单提交到云浮市公共资源交易服务平台办理无息划款手续。</w:t>
      </w:r>
    </w:p>
    <w:p w14:paraId="1B10F26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竞得人应在签订《河砂开采权出让合同》之日起5个工作日以内，将合同价款全额支付到出让方指定结算账户。交易双方在履行合同过程中发生争议或违约的，双方应协商解决;协商不成的，向有管辖权的人民法院诉讼解决。签订《河砂开采权出让合同》的签约地点:</w:t>
      </w:r>
      <w:r>
        <w:rPr>
          <w:rFonts w:hint="eastAsia" w:ascii="仿宋" w:hAnsi="仿宋" w:eastAsia="仿宋"/>
          <w:sz w:val="32"/>
          <w:szCs w:val="32"/>
        </w:rPr>
        <w:t>云浮市郁南县都城镇城中路191号水务大楼</w:t>
      </w:r>
      <w:r>
        <w:rPr>
          <w:rFonts w:hint="eastAsia" w:ascii="仿宋" w:hAnsi="仿宋" w:eastAsia="仿宋" w:cs="仿宋"/>
          <w:sz w:val="32"/>
          <w:szCs w:val="32"/>
        </w:rPr>
        <w:t>(联系电话:0766-7301928)。</w:t>
      </w:r>
    </w:p>
    <w:p w14:paraId="1A5A94BA">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十、风险提示</w:t>
      </w:r>
    </w:p>
    <w:p w14:paraId="55589E6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标的品质:标的所指的河砂为被江水淹没、自然沉积的物品，由于其成分、品质等都具有一定的不确定性，出让方及交易机构不承担因河砂品质、用途及产量等方面的责任，竞买人应自行勘察、判断标的的品质、数量，并承担开采过程中产生的风险和责任。有关河砂的规模、形态等可能与实际开采有差距，存在不可预见性。有意</w:t>
      </w:r>
      <w:r>
        <w:rPr>
          <w:rFonts w:hint="eastAsia" w:ascii="仿宋" w:hAnsi="仿宋" w:eastAsia="仿宋" w:cs="仿宋"/>
          <w:sz w:val="32"/>
          <w:szCs w:val="32"/>
          <w:lang w:eastAsia="zh-CN"/>
        </w:rPr>
        <w:t>竞买人</w:t>
      </w:r>
      <w:r>
        <w:rPr>
          <w:rFonts w:hint="eastAsia" w:ascii="仿宋" w:hAnsi="仿宋" w:eastAsia="仿宋" w:cs="仿宋"/>
          <w:sz w:val="32"/>
          <w:szCs w:val="32"/>
        </w:rPr>
        <w:t>可以自行到可采区现场踏勘以充分了解情况，出让人不统一安排现场踏勘。对该不可预见的风险，采砂权竞买申请人应予知悉、充分理解和接受。</w:t>
      </w:r>
    </w:p>
    <w:p w14:paraId="7B8030D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时间风险:本次标的按公告实行开采区控制河砂量开采权出让，在规定时间内一次性收取合同价款。竞得人需在签订《河砂开采权出让合同》并缴纳成交款后向云浮市水务局申请办理《河道采砂许可证》。办理河砂开采权登记的前置官批要件，句括但不限于环保、水利、林业、农业、文物、交通等部门法律法规政策的要求，开采权竞买申请人应提前充分了解。在许可采砂期限内采砂量达到出让开采的许可采砂量，竞得人必须立即停止采砂，出让方立即注销《河道采砂许可证》;如果采砂时间已到《河砂采砂许可证》许可期限，即使所采的砂量达不到许可采砂总量，竞得人亦不得要求延长采砂期，由发证机关依法注销竞得人的《河道采砂许可证》，所付的合同总价款不予退还。但如在采砂过程中由于防洪或其他公共利益需要，出让方发出临时禁采通知书，竞得人中途已按通知要求停止采砂并且按原来批准的期限到期仍未达到许可采砂量的，出让方按采砂中途临时禁采期停止采砂的时间相应延长开采期限，</w:t>
      </w:r>
      <w:r>
        <w:rPr>
          <w:rFonts w:hint="eastAsia" w:ascii="仿宋" w:hAnsi="仿宋" w:eastAsia="仿宋" w:cs="仿宋_GB2312"/>
          <w:sz w:val="32"/>
          <w:szCs w:val="32"/>
          <w:shd w:val="clear" w:color="auto" w:fill="FFFFFF"/>
        </w:rPr>
        <w:t>竞得方</w:t>
      </w:r>
      <w:r>
        <w:rPr>
          <w:rFonts w:ascii="仿宋" w:hAnsi="仿宋" w:eastAsia="仿宋" w:cs="仿宋_GB2312"/>
          <w:sz w:val="32"/>
          <w:szCs w:val="32"/>
          <w:shd w:val="clear" w:color="auto" w:fill="FFFFFF"/>
        </w:rPr>
        <w:t>可以在河道采砂许可证有效期届满三十日前或者</w:t>
      </w:r>
      <w:r>
        <w:rPr>
          <w:rFonts w:hint="eastAsia" w:ascii="仿宋" w:hAnsi="仿宋" w:eastAsia="仿宋" w:cs="仿宋_GB2312"/>
          <w:sz w:val="32"/>
          <w:szCs w:val="32"/>
          <w:shd w:val="clear" w:color="auto" w:fill="FFFFFF"/>
        </w:rPr>
        <w:t>限制</w:t>
      </w:r>
      <w:r>
        <w:rPr>
          <w:rFonts w:ascii="仿宋" w:hAnsi="仿宋" w:eastAsia="仿宋" w:cs="仿宋_GB2312"/>
          <w:sz w:val="32"/>
          <w:szCs w:val="32"/>
          <w:shd w:val="clear" w:color="auto" w:fill="FFFFFF"/>
        </w:rPr>
        <w:t>因素消除后十日内，向</w:t>
      </w:r>
      <w:r>
        <w:rPr>
          <w:rFonts w:hint="eastAsia" w:ascii="仿宋" w:hAnsi="仿宋" w:eastAsia="仿宋" w:cs="仿宋_GB2312"/>
          <w:sz w:val="32"/>
          <w:szCs w:val="32"/>
          <w:shd w:val="clear" w:color="auto" w:fill="FFFFFF"/>
        </w:rPr>
        <w:t>发证机关</w:t>
      </w:r>
      <w:r>
        <w:rPr>
          <w:rFonts w:ascii="仿宋" w:hAnsi="仿宋" w:eastAsia="仿宋" w:cs="仿宋_GB2312"/>
          <w:sz w:val="32"/>
          <w:szCs w:val="32"/>
          <w:shd w:val="clear" w:color="auto" w:fill="FFFFFF"/>
        </w:rPr>
        <w:t>提出采砂期限变更申请</w:t>
      </w:r>
      <w:r>
        <w:rPr>
          <w:rFonts w:hint="eastAsia" w:ascii="仿宋" w:hAnsi="仿宋" w:eastAsia="仿宋" w:cs="仿宋_GB2312"/>
          <w:sz w:val="32"/>
          <w:szCs w:val="32"/>
          <w:shd w:val="clear" w:color="auto" w:fill="FFFFFF"/>
        </w:rPr>
        <w:t>。每天开采时间为7:00到19:00止。</w:t>
      </w:r>
    </w:p>
    <w:p w14:paraId="5E8AE99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(三)市场风险:竞买人应自行考察河砂交易市场，对河砂的用途、市场价格等应有充分的认识和风险承受能力。</w:t>
      </w:r>
    </w:p>
    <w:p w14:paraId="6156FDF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(四)违约罚没:竞得人与出让方签订了《河砂开采权出让合同》并按约定交纳合同价款后，如竞得人出现合同违约行为时，出让方将没收全部合同价款，不再退还给竞得人。</w:t>
      </w:r>
    </w:p>
    <w:p w14:paraId="5EF7AB85">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(五)云浮市公共资源交易中心只提供河砂开采权挂牌出让交易平台，交易成交后，由出让方和竞得人协调处理好相关事宜，与交易中心无关(例如:竞得人在竞得河砂开采权后的各项安全等责任自负)。</w:t>
      </w:r>
    </w:p>
    <w:p w14:paraId="0C5DF96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(六)河砂开采权挂牌出让按现状公开交易，竞买人的出价竞买即视为对上述风险完全认知和有足够的应对能力，并对河砂开采权的一切现状、瑕疵、交易条件、交易文件等无异议及全面接受。</w:t>
      </w:r>
    </w:p>
    <w:p w14:paraId="3A4B94E1">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十一、河砂总量核定方式</w:t>
      </w:r>
    </w:p>
    <w:p w14:paraId="40B7CFCC">
      <w:pPr>
        <w:spacing w:line="360" w:lineRule="auto"/>
        <w:ind w:firstLine="640" w:firstLineChars="200"/>
        <w:rPr>
          <w:rFonts w:ascii="仿宋" w:hAnsi="仿宋" w:eastAsia="仿宋" w:cs="仿宋"/>
          <w:sz w:val="32"/>
          <w:szCs w:val="32"/>
        </w:rPr>
      </w:pPr>
      <w:r>
        <w:rPr>
          <w:rFonts w:hint="eastAsia" w:ascii="仿宋" w:hAnsi="仿宋" w:eastAsia="仿宋" w:cs="仿宋_GB2312"/>
          <w:sz w:val="32"/>
          <w:szCs w:val="32"/>
          <w:shd w:val="clear" w:color="auto" w:fill="FFFFFF"/>
        </w:rPr>
        <w:t>以现场管理人员计量签证累计的采砂量与采砂断面开采前后河道地形测量计算相结合的方式进行核定，两种计算方法中的量大者作为核定的最终采砂总量。采砂过程要严格遵守采砂区域、深度、采砂工具、设备功率等相关要求，符合砂石资源可持续开发利用和保障河道安全的要求，严禁掠夺性和破坏性施工开采，</w:t>
      </w:r>
      <w:r>
        <w:rPr>
          <w:rFonts w:hint="eastAsia" w:ascii="仿宋_GB2312" w:hAnsi="仿宋_GB2312" w:eastAsia="仿宋_GB2312" w:cs="仿宋_GB2312"/>
          <w:color w:val="000000"/>
          <w:sz w:val="32"/>
          <w:szCs w:val="32"/>
        </w:rPr>
        <w:t>开采区开采结束后由出让方委托具有相应测量资质的第三方开展采砂断面复核，如复核断面平均开采深度、开采总量超出原设计断面的，由竞得方负责对开采断面修复，同时采砂过程影响或损坏河床、岸坡、道路等，竞得方</w:t>
      </w:r>
      <w:r>
        <w:rPr>
          <w:rFonts w:ascii="仿宋_GB2312" w:hAnsi="仿宋_GB2312" w:eastAsia="仿宋_GB2312" w:cs="仿宋_GB2312"/>
          <w:color w:val="000000"/>
          <w:sz w:val="32"/>
          <w:szCs w:val="32"/>
        </w:rPr>
        <w:t>负责修复、加固或者修建等效替代工程。</w:t>
      </w:r>
    </w:p>
    <w:p w14:paraId="03F9A025">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十二、现场管理</w:t>
      </w:r>
    </w:p>
    <w:p w14:paraId="5D159F0C">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现场管理机构由水行政主管部门、监理单位和竞得人等单位有关人员组成。现场管理机构主要负责监督管理现场施工、安全生产、采砂量核定等。采砂量核定,执行现场签证管理,由现场管理机构人员共同签证,</w:t>
      </w:r>
      <w:r>
        <w:rPr>
          <w:rFonts w:hint="eastAsia" w:ascii="仿宋" w:hAnsi="仿宋" w:eastAsia="仿宋" w:cs="仿宋_GB2312"/>
          <w:sz w:val="32"/>
          <w:szCs w:val="32"/>
        </w:rPr>
        <w:t>对在河道管理范围内运输的，</w:t>
      </w:r>
      <w:r>
        <w:rPr>
          <w:rFonts w:hint="eastAsia" w:ascii="仿宋" w:hAnsi="仿宋" w:eastAsia="仿宋" w:cs="仿宋"/>
          <w:sz w:val="32"/>
          <w:szCs w:val="32"/>
        </w:rPr>
        <w:t>在</w:t>
      </w:r>
      <w:r>
        <w:rPr>
          <w:rFonts w:ascii="仿宋" w:hAnsi="仿宋" w:eastAsia="仿宋" w:cs="仿宋_GB2312"/>
          <w:sz w:val="32"/>
          <w:szCs w:val="32"/>
        </w:rPr>
        <w:t>采砂现场</w:t>
      </w:r>
      <w:r>
        <w:rPr>
          <w:rFonts w:hint="eastAsia" w:ascii="仿宋" w:hAnsi="仿宋" w:eastAsia="仿宋" w:cs="仿宋_GB2312"/>
          <w:sz w:val="32"/>
          <w:szCs w:val="32"/>
        </w:rPr>
        <w:t>由工作人员</w:t>
      </w:r>
      <w:r>
        <w:rPr>
          <w:rFonts w:hint="eastAsia" w:ascii="仿宋" w:hAnsi="仿宋" w:eastAsia="仿宋" w:cs="仿宋"/>
          <w:sz w:val="32"/>
          <w:szCs w:val="32"/>
        </w:rPr>
        <w:t>核发“河砂合法来源证明”对运砂行为进行管理。</w:t>
      </w:r>
    </w:p>
    <w:p w14:paraId="0E73ADB4">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十三、竞买纪律</w:t>
      </w:r>
    </w:p>
    <w:p w14:paraId="3F6F3E27">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(一)竞买人不得恶意串标、不得干扰他人报价,否则交易中心及委托方有权取消其竞买资格,并追究其法律责任。</w:t>
      </w:r>
    </w:p>
    <w:p w14:paraId="154A761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(二)竞买人参与竞买前应熟知竞买规则及竞买资料的内容,不得以未理解相关规则和内容等理由影响竞买活动。</w:t>
      </w:r>
    </w:p>
    <w:p w14:paraId="3A94E2D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(三)竞买人对挂牌活动有异议的,挂牌活动结束后可通过正当途径向有关部门申诉。</w:t>
      </w:r>
    </w:p>
    <w:p w14:paraId="77BAF515">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十四、税费承担</w:t>
      </w:r>
    </w:p>
    <w:p w14:paraId="0CB9A29E">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竞得人须按有关规定缴纳相应的税费。</w:t>
      </w:r>
    </w:p>
    <w:p w14:paraId="3DF265DE">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十五、法律责任</w:t>
      </w:r>
    </w:p>
    <w:p w14:paraId="636B50AE">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云浮市公共资源交易中心应遵照出让方要求按照公开挂牌交易有关法律法规的规定实施挂牌交易。河砂开采权挂牌出让的合法性、合同的签订及履行等由出让方负责。</w:t>
      </w:r>
    </w:p>
    <w:p w14:paraId="43FFFEED">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十六、竞买保证金退还流程</w:t>
      </w:r>
    </w:p>
    <w:p w14:paraId="74FE75F1">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成交后:1、竞得人的保证金转作合同价款,由郁南县水务局出具相关证明,竞得人凭相关证明、成交确认书及竞买保证金进账单提交到云浮市公共资源交易服务平台办理无息划款手续;2、未竞得者的保证金凭郁南县水务局出具提交资料证明后在5个工作日内按原额无息退回未竞得者的账号(未竞得者必须保证以下的信息准确有效:户名、账号、开户银行的全称;如果上述信息不完整,则未竞得者提交银行汇款凭证等资料到云浮市公共资源交易中心郁南分中心办理退款手续)。</w:t>
      </w:r>
    </w:p>
    <w:p w14:paraId="51285D7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十七、交易结果公布</w:t>
      </w:r>
    </w:p>
    <w:p w14:paraId="6A9F6067">
      <w:pPr>
        <w:spacing w:line="360" w:lineRule="auto"/>
        <w:ind w:firstLine="640" w:firstLineChars="200"/>
        <w:rPr>
          <w:rFonts w:ascii="仿宋" w:hAnsi="仿宋" w:eastAsia="仿宋" w:cs="仿宋"/>
          <w:sz w:val="32"/>
          <w:szCs w:val="32"/>
        </w:rPr>
      </w:pPr>
      <w:r>
        <w:rPr>
          <w:rFonts w:hint="eastAsia" w:ascii="仿宋_GB2312" w:hAnsi="仿宋_GB2312" w:eastAsia="仿宋_GB2312" w:cs="仿宋_GB2312"/>
          <w:sz w:val="32"/>
          <w:szCs w:val="32"/>
          <w:shd w:val="clear" w:color="auto" w:fill="FFFFFF"/>
        </w:rPr>
        <w:t>广东省公共资源交易平台在本次采矿权网上挂牌出让竞价活动结束后及时发布交易结果。</w:t>
      </w:r>
    </w:p>
    <w:p w14:paraId="3E90AE5D">
      <w:pPr>
        <w:spacing w:line="360" w:lineRule="auto"/>
        <w:ind w:firstLine="640" w:firstLineChars="200"/>
        <w:rPr>
          <w:rFonts w:ascii="仿宋" w:hAnsi="仿宋" w:eastAsia="仿宋" w:cs="仿宋"/>
          <w:sz w:val="32"/>
          <w:szCs w:val="32"/>
        </w:rPr>
      </w:pPr>
      <w:r>
        <w:rPr>
          <w:rFonts w:hint="eastAsia" w:ascii="仿宋" w:hAnsi="仿宋" w:eastAsia="仿宋" w:cs="仿宋"/>
          <w:bCs/>
          <w:sz w:val="32"/>
          <w:szCs w:val="32"/>
        </w:rPr>
        <w:t>十八、本次挂牌由云浮市公共资源交易中心郁南分中心承办</w:t>
      </w:r>
      <w:r>
        <w:rPr>
          <w:rFonts w:hint="eastAsia" w:ascii="仿宋" w:hAnsi="仿宋" w:eastAsia="仿宋" w:cs="仿宋"/>
          <w:sz w:val="32"/>
          <w:szCs w:val="32"/>
        </w:rPr>
        <w:t>(联系电话:0766-7316463),河砂开采权网上挂牌出让只接受网上竞买申请,即通过云浮市公共资源交易服务平台上挂牌交易系统进行,不接受书面、电话、邮寄、电子邮件及口头等其他一切方式竞买。竞买人在参加竞买前须办理数字认证证书,并按要求足额交纳竞买保证金方可参加网上挂牌交易活动。</w:t>
      </w:r>
    </w:p>
    <w:p w14:paraId="1945A3FB">
      <w:pPr>
        <w:spacing w:line="360" w:lineRule="auto"/>
        <w:ind w:firstLine="640" w:firstLineChars="200"/>
        <w:rPr>
          <w:rFonts w:ascii="仿宋" w:hAnsi="仿宋" w:eastAsia="仿宋"/>
          <w:sz w:val="32"/>
          <w:szCs w:val="32"/>
        </w:rPr>
      </w:pPr>
      <w:r>
        <w:rPr>
          <w:rFonts w:hint="eastAsia" w:ascii="仿宋" w:hAnsi="仿宋" w:eastAsia="仿宋" w:cs="仿宋"/>
          <w:sz w:val="32"/>
          <w:szCs w:val="32"/>
        </w:rPr>
        <w:t>竞买人必须使用真实名称,数字证书填写的“用户名”的名称必须与竞买人的名称、竞买保证金交纳人的名称一致:否则,不予认定合符竞买人资格,如竞得河砂开采权的,取消其竞得结果,并追究其相关法律责任。联系人必须填写真实姓名。</w:t>
      </w:r>
      <w:r>
        <w:rPr>
          <w:rFonts w:hint="eastAsia" w:ascii="仿宋" w:hAnsi="仿宋" w:eastAsia="仿宋"/>
          <w:sz w:val="32"/>
          <w:szCs w:val="32"/>
        </w:rPr>
        <w:t>广东省数字认证证书云浮市办理点（地址）：云浮市区城中路111号B座四楼云浮市公共资源交易中心服务窗口大厅CA证书办理窗口，联系人：欧小姐，联系电话：0766-8838690。</w:t>
      </w:r>
    </w:p>
    <w:p w14:paraId="424B4AE5">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十九、挂牌不成交的,应当按规定由出让方重新组织出让。</w:t>
      </w:r>
    </w:p>
    <w:p w14:paraId="396C8870">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二十、本须知未尽事宜由出让方负责解释。</w:t>
      </w:r>
    </w:p>
    <w:p w14:paraId="510A49AB"/>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3418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254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78D459A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RzB0QAAAAMBAAAPAAAAAAAAAAEAIAAAACIAAABkcnMvZG93bnJldi54bWxQSwEC&#10;FAAUAAAACACHTuJAjr0ppvsBAAAEBAAADgAAAAAAAAABACAAAAAgAQAAZHJzL2Uyb0RvYy54bWxQ&#10;SwUGAAAAAAYABgBZAQAAjQUAAAAA&#10;">
              <v:fill on="f" focussize="0,0"/>
              <v:stroke on="f"/>
              <v:imagedata o:title=""/>
              <o:lock v:ext="edit" aspectratio="f"/>
              <v:textbox inset="0mm,0mm,0mm,0mm" style="mso-fit-shape-to-text:t;">
                <w:txbxContent>
                  <w:p w14:paraId="78D459A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6390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jZGU0ZWViMWY2NTQyOGFiZDBjMWI5YWM2M2VjZWUifQ=="/>
  </w:docVars>
  <w:rsids>
    <w:rsidRoot w:val="00C42E06"/>
    <w:rsid w:val="00002606"/>
    <w:rsid w:val="000036FD"/>
    <w:rsid w:val="000247ED"/>
    <w:rsid w:val="0004720D"/>
    <w:rsid w:val="0005500E"/>
    <w:rsid w:val="0008778D"/>
    <w:rsid w:val="00093BF5"/>
    <w:rsid w:val="000A47DE"/>
    <w:rsid w:val="000B666B"/>
    <w:rsid w:val="000E1766"/>
    <w:rsid w:val="0011424E"/>
    <w:rsid w:val="00126196"/>
    <w:rsid w:val="001644A4"/>
    <w:rsid w:val="00171EBD"/>
    <w:rsid w:val="00186C25"/>
    <w:rsid w:val="001B6DFB"/>
    <w:rsid w:val="001C4052"/>
    <w:rsid w:val="001E5681"/>
    <w:rsid w:val="001F4879"/>
    <w:rsid w:val="001F5417"/>
    <w:rsid w:val="002069A7"/>
    <w:rsid w:val="00211C28"/>
    <w:rsid w:val="0021643D"/>
    <w:rsid w:val="00221D78"/>
    <w:rsid w:val="00223E15"/>
    <w:rsid w:val="002718BD"/>
    <w:rsid w:val="0029125A"/>
    <w:rsid w:val="002953E4"/>
    <w:rsid w:val="002A0CBD"/>
    <w:rsid w:val="002B2D63"/>
    <w:rsid w:val="002B3A3B"/>
    <w:rsid w:val="002B4F21"/>
    <w:rsid w:val="002D284B"/>
    <w:rsid w:val="002F6E5C"/>
    <w:rsid w:val="00301AF1"/>
    <w:rsid w:val="00314C0C"/>
    <w:rsid w:val="00324131"/>
    <w:rsid w:val="003414A4"/>
    <w:rsid w:val="00351219"/>
    <w:rsid w:val="003540B7"/>
    <w:rsid w:val="003909A7"/>
    <w:rsid w:val="003A0175"/>
    <w:rsid w:val="003A0DF0"/>
    <w:rsid w:val="003A607D"/>
    <w:rsid w:val="003D0604"/>
    <w:rsid w:val="003D758D"/>
    <w:rsid w:val="00422B7E"/>
    <w:rsid w:val="00434F0B"/>
    <w:rsid w:val="0045488E"/>
    <w:rsid w:val="00464AFB"/>
    <w:rsid w:val="00472598"/>
    <w:rsid w:val="00473F63"/>
    <w:rsid w:val="0049346D"/>
    <w:rsid w:val="004A03DE"/>
    <w:rsid w:val="005459B7"/>
    <w:rsid w:val="00580206"/>
    <w:rsid w:val="005A3307"/>
    <w:rsid w:val="005C41F2"/>
    <w:rsid w:val="00605D27"/>
    <w:rsid w:val="006208CB"/>
    <w:rsid w:val="0066619E"/>
    <w:rsid w:val="00681FA1"/>
    <w:rsid w:val="006833EE"/>
    <w:rsid w:val="006C226C"/>
    <w:rsid w:val="006C2E6F"/>
    <w:rsid w:val="006F7743"/>
    <w:rsid w:val="0070465A"/>
    <w:rsid w:val="007153FE"/>
    <w:rsid w:val="007320A4"/>
    <w:rsid w:val="00736863"/>
    <w:rsid w:val="007526AC"/>
    <w:rsid w:val="0078328C"/>
    <w:rsid w:val="007D4678"/>
    <w:rsid w:val="008255BC"/>
    <w:rsid w:val="00841025"/>
    <w:rsid w:val="00851F0B"/>
    <w:rsid w:val="008748D2"/>
    <w:rsid w:val="008962A9"/>
    <w:rsid w:val="008A5471"/>
    <w:rsid w:val="009344E1"/>
    <w:rsid w:val="00934C78"/>
    <w:rsid w:val="00987CEF"/>
    <w:rsid w:val="009932B2"/>
    <w:rsid w:val="009D3DF0"/>
    <w:rsid w:val="009F27DC"/>
    <w:rsid w:val="00A12A19"/>
    <w:rsid w:val="00A547A3"/>
    <w:rsid w:val="00A72E25"/>
    <w:rsid w:val="00A90376"/>
    <w:rsid w:val="00AF33EE"/>
    <w:rsid w:val="00AF5D8E"/>
    <w:rsid w:val="00B00CED"/>
    <w:rsid w:val="00B02B1E"/>
    <w:rsid w:val="00B14E15"/>
    <w:rsid w:val="00B15509"/>
    <w:rsid w:val="00B676FB"/>
    <w:rsid w:val="00B9381A"/>
    <w:rsid w:val="00B95AF9"/>
    <w:rsid w:val="00BB0FD1"/>
    <w:rsid w:val="00C04DB7"/>
    <w:rsid w:val="00C42E06"/>
    <w:rsid w:val="00C52CFF"/>
    <w:rsid w:val="00C6323C"/>
    <w:rsid w:val="00C73DA3"/>
    <w:rsid w:val="00C77B2F"/>
    <w:rsid w:val="00C825F1"/>
    <w:rsid w:val="00C95855"/>
    <w:rsid w:val="00CA2DE2"/>
    <w:rsid w:val="00CA377A"/>
    <w:rsid w:val="00CC01A6"/>
    <w:rsid w:val="00CD7CC9"/>
    <w:rsid w:val="00CF0570"/>
    <w:rsid w:val="00D02D54"/>
    <w:rsid w:val="00D205FF"/>
    <w:rsid w:val="00D24185"/>
    <w:rsid w:val="00D424BC"/>
    <w:rsid w:val="00D427E7"/>
    <w:rsid w:val="00D51F2A"/>
    <w:rsid w:val="00D63A93"/>
    <w:rsid w:val="00D70467"/>
    <w:rsid w:val="00D71A00"/>
    <w:rsid w:val="00D72E28"/>
    <w:rsid w:val="00D73885"/>
    <w:rsid w:val="00D87999"/>
    <w:rsid w:val="00DB05E5"/>
    <w:rsid w:val="00DC208D"/>
    <w:rsid w:val="00DC6E83"/>
    <w:rsid w:val="00DF2792"/>
    <w:rsid w:val="00E119DF"/>
    <w:rsid w:val="00E12171"/>
    <w:rsid w:val="00E26997"/>
    <w:rsid w:val="00E34842"/>
    <w:rsid w:val="00EB3807"/>
    <w:rsid w:val="00EC14FA"/>
    <w:rsid w:val="00F33F12"/>
    <w:rsid w:val="00F40209"/>
    <w:rsid w:val="00FA1A46"/>
    <w:rsid w:val="00FA2956"/>
    <w:rsid w:val="00FB27D1"/>
    <w:rsid w:val="04380082"/>
    <w:rsid w:val="11801261"/>
    <w:rsid w:val="146101A7"/>
    <w:rsid w:val="196A3827"/>
    <w:rsid w:val="1BB81172"/>
    <w:rsid w:val="21B937F7"/>
    <w:rsid w:val="23BE4F99"/>
    <w:rsid w:val="25AC730F"/>
    <w:rsid w:val="262F49DA"/>
    <w:rsid w:val="31155667"/>
    <w:rsid w:val="31EF72C7"/>
    <w:rsid w:val="34344918"/>
    <w:rsid w:val="3922196A"/>
    <w:rsid w:val="435461FA"/>
    <w:rsid w:val="54E00ECC"/>
    <w:rsid w:val="5B7962BC"/>
    <w:rsid w:val="5D3E4715"/>
    <w:rsid w:val="5F15431E"/>
    <w:rsid w:val="61C358CD"/>
    <w:rsid w:val="65130235"/>
    <w:rsid w:val="665D3B73"/>
    <w:rsid w:val="726C59F0"/>
    <w:rsid w:val="FDBFA9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99"/>
    <w:pPr>
      <w:jc w:val="left"/>
    </w:pPr>
    <w:rPr>
      <w:kern w:val="0"/>
      <w:sz w:val="24"/>
    </w:rPr>
  </w:style>
  <w:style w:type="table" w:styleId="7">
    <w:name w:val="Table Grid"/>
    <w:basedOn w:val="6"/>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页眉 字符"/>
    <w:basedOn w:val="8"/>
    <w:link w:val="4"/>
    <w:semiHidden/>
    <w:qFormat/>
    <w:uiPriority w:val="99"/>
    <w:rPr>
      <w:sz w:val="18"/>
      <w:szCs w:val="18"/>
    </w:rPr>
  </w:style>
  <w:style w:type="character" w:customStyle="1" w:styleId="10">
    <w:name w:val="页脚 字符"/>
    <w:basedOn w:val="8"/>
    <w:link w:val="3"/>
    <w:qFormat/>
    <w:uiPriority w:val="0"/>
    <w:rPr>
      <w:sz w:val="18"/>
      <w:szCs w:val="18"/>
    </w:rPr>
  </w:style>
  <w:style w:type="paragraph" w:customStyle="1" w:styleId="11">
    <w:name w:val="正文 New New New New New New"/>
    <w:qFormat/>
    <w:uiPriority w:val="0"/>
    <w:pPr>
      <w:widowControl w:val="0"/>
      <w:adjustRightInd w:val="0"/>
      <w:spacing w:line="312" w:lineRule="atLeast"/>
      <w:jc w:val="both"/>
    </w:pPr>
    <w:rPr>
      <w:rFonts w:ascii="Times New Roman" w:hAnsi="Times New Roman" w:eastAsia="方正仿宋简体" w:cs="Times New Roman"/>
      <w:sz w:val="32"/>
      <w:szCs w:val="32"/>
      <w:lang w:val="en-US" w:eastAsia="zh-CN" w:bidi="ar-SA"/>
    </w:rPr>
  </w:style>
  <w:style w:type="character" w:customStyle="1" w:styleId="12">
    <w:name w:val="批注框文本 字符"/>
    <w:basedOn w:val="8"/>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4797</Words>
  <Characters>769</Characters>
  <Lines>6</Lines>
  <Paragraphs>11</Paragraphs>
  <TotalTime>0</TotalTime>
  <ScaleCrop>false</ScaleCrop>
  <LinksUpToDate>false</LinksUpToDate>
  <CharactersWithSpaces>5555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2025-04-07T17:18:00Z</dcterms:created>
  <dc:creator>莫炳桓</dc:creator>
  <cp:lastModifiedBy>L 诗</cp:lastModifiedBy>
  <cp:lastPrinted>2025-03-21T14:57:00Z</cp:lastPrinted>
  <dcterms:modified xsi:type="dcterms:W3CDTF">2026-06-24T15:56:23Z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F661310EA0E045EDB9B26CB5CD4E8CFE</vt:lpwstr>
  </property>
  <property fmtid="{D5CDD505-2E9C-101B-9397-08002B2CF9AE}" pid="4" name="KSOTemplateDocerSaveRecord">
    <vt:lpwstr>eyJoZGlkIjoiOWY1ZTRkNzI4ZjQ2ZmQzYzk2NWY1OWFlYmJmOGRkZDEiLCJ1c2VySWQiOiI0NDg4NjQ4MjIifQ==</vt:lpwstr>
  </property>
</Properties>
</file>