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inorEastAsia" w:hAnsiTheme="minorEastAsia" w:eastAsiaTheme="minorEastAsia"/>
          <w:sz w:val="44"/>
          <w:szCs w:val="44"/>
          <w:lang w:eastAsia="zh-CN"/>
        </w:rPr>
      </w:pPr>
    </w:p>
    <w:p>
      <w:pPr>
        <w:tabs>
          <w:tab w:val="left" w:pos="7530"/>
        </w:tabs>
        <w:jc w:val="left"/>
        <w:rPr>
          <w:rFonts w:hint="eastAsia" w:asciiTheme="minorEastAsia" w:hAnsiTheme="minorEastAsia" w:eastAsiaTheme="minorEastAsia"/>
          <w:sz w:val="44"/>
          <w:szCs w:val="44"/>
          <w:lang w:eastAsia="zh-CN"/>
        </w:rPr>
      </w:pPr>
      <w:r>
        <w:rPr>
          <w:rFonts w:hint="eastAsia" w:asciiTheme="minorEastAsia" w:hAnsiTheme="minorEastAsia"/>
          <w:sz w:val="44"/>
          <w:szCs w:val="44"/>
          <w:lang w:eastAsia="zh-CN"/>
        </w:rPr>
        <w:tab/>
      </w:r>
    </w:p>
    <w:p>
      <w:pPr>
        <w:rPr>
          <w:rFonts w:asciiTheme="minorEastAsia" w:hAnsiTheme="minorEastAsia"/>
          <w:sz w:val="44"/>
          <w:szCs w:val="44"/>
        </w:rPr>
      </w:pPr>
    </w:p>
    <w:p>
      <w:pPr>
        <w:pStyle w:val="47"/>
        <w:tabs>
          <w:tab w:val="left" w:pos="6379"/>
        </w:tabs>
        <w:spacing w:line="560" w:lineRule="exact"/>
        <w:ind w:firstLine="0"/>
        <w:jc w:val="right"/>
        <w:rPr>
          <w:rFonts w:ascii="仿宋" w:hAnsi="仿宋" w:eastAsia="仿宋"/>
          <w:sz w:val="32"/>
          <w:szCs w:val="32"/>
        </w:rPr>
      </w:pPr>
      <w:r>
        <w:rPr>
          <w:rFonts w:hint="eastAsia" w:ascii="仿宋_GB2312" w:hAnsi="仿宋_GB2312" w:eastAsia="仿宋_GB2312"/>
          <w:sz w:val="32"/>
        </w:rPr>
        <w:t>云环（郁南）审〔202</w:t>
      </w:r>
      <w:r>
        <w:rPr>
          <w:rFonts w:hint="eastAsia" w:ascii="仿宋_GB2312" w:hAnsi="仿宋_GB2312" w:eastAsia="仿宋_GB2312"/>
          <w:sz w:val="32"/>
          <w:lang w:val="en-US" w:eastAsia="zh-CN"/>
        </w:rPr>
        <w:t>3</w:t>
      </w:r>
      <w:r>
        <w:rPr>
          <w:rFonts w:hint="eastAsia" w:ascii="仿宋_GB2312" w:hAnsi="仿宋_GB2312" w:eastAsia="仿宋_GB2312"/>
          <w:sz w:val="32"/>
        </w:rPr>
        <w:t>〕</w:t>
      </w:r>
      <w:r>
        <w:rPr>
          <w:rFonts w:hint="eastAsia" w:ascii="仿宋_GB2312" w:hAnsi="仿宋_GB2312" w:eastAsia="仿宋_GB2312"/>
          <w:sz w:val="32"/>
          <w:lang w:val="en-US" w:eastAsia="zh-CN"/>
        </w:rPr>
        <w:t>09</w:t>
      </w:r>
      <w:r>
        <w:rPr>
          <w:rFonts w:hint="eastAsia" w:ascii="仿宋_GB2312" w:hAnsi="仿宋_GB2312" w:eastAsia="仿宋_GB2312"/>
          <w:sz w:val="32"/>
        </w:rPr>
        <w:t>号</w:t>
      </w:r>
    </w:p>
    <w:p>
      <w:pPr>
        <w:rPr>
          <w:rFonts w:asciiTheme="minorEastAsia" w:hAnsiTheme="minorEastAsia"/>
          <w:sz w:val="44"/>
          <w:szCs w:val="44"/>
        </w:rPr>
      </w:pPr>
    </w:p>
    <w:p>
      <w:pPr>
        <w:pStyle w:val="47"/>
        <w:tabs>
          <w:tab w:val="left" w:pos="6379"/>
        </w:tabs>
        <w:spacing w:line="560" w:lineRule="exact"/>
        <w:ind w:firstLine="0"/>
        <w:jc w:val="center"/>
        <w:rPr>
          <w:rFonts w:ascii="方正小标宋简体" w:eastAsia="方正小标宋简体"/>
          <w:sz w:val="44"/>
          <w:szCs w:val="44"/>
        </w:rPr>
      </w:pPr>
      <w:bookmarkStart w:id="0" w:name="_GoBack"/>
      <w:r>
        <w:rPr>
          <w:rFonts w:hint="eastAsia" w:ascii="方正小标宋简体" w:eastAsia="方正小标宋简体"/>
          <w:sz w:val="44"/>
          <w:szCs w:val="44"/>
        </w:rPr>
        <w:t>关于广东晟峰新材料科技有限公司危险化学品仓库新建项目环境影响报告</w:t>
      </w:r>
      <w:r>
        <w:rPr>
          <w:rFonts w:hint="eastAsia" w:ascii="方正小标宋简体" w:eastAsia="方正小标宋简体"/>
          <w:sz w:val="44"/>
          <w:szCs w:val="44"/>
          <w:lang w:eastAsia="zh-CN"/>
        </w:rPr>
        <w:t>表</w:t>
      </w:r>
      <w:r>
        <w:rPr>
          <w:rFonts w:hint="eastAsia" w:ascii="方正小标宋简体" w:eastAsia="方正小标宋简体"/>
          <w:sz w:val="44"/>
          <w:szCs w:val="44"/>
        </w:rPr>
        <w:t>的批复</w:t>
      </w:r>
    </w:p>
    <w:bookmarkEnd w:id="0"/>
    <w:p>
      <w:pPr>
        <w:pStyle w:val="47"/>
        <w:tabs>
          <w:tab w:val="left" w:pos="6379"/>
        </w:tabs>
        <w:spacing w:line="560" w:lineRule="exact"/>
        <w:ind w:firstLine="0"/>
        <w:jc w:val="center"/>
        <w:rPr>
          <w:rFonts w:asciiTheme="minorEastAsia" w:hAnsiTheme="minorEastAsia"/>
          <w:b/>
          <w:sz w:val="36"/>
          <w:szCs w:val="36"/>
        </w:rPr>
      </w:pPr>
    </w:p>
    <w:p>
      <w:pPr>
        <w:pStyle w:val="47"/>
        <w:tabs>
          <w:tab w:val="left" w:pos="6379"/>
        </w:tabs>
        <w:spacing w:line="560" w:lineRule="exact"/>
        <w:ind w:firstLine="0"/>
        <w:jc w:val="left"/>
        <w:rPr>
          <w:rFonts w:ascii="仿宋_GB2312" w:hAnsi="宋体" w:eastAsia="仿宋_GB2312" w:cs="仿宋_GB2312"/>
          <w:sz w:val="32"/>
          <w:szCs w:val="32"/>
        </w:rPr>
      </w:pPr>
      <w:r>
        <w:rPr>
          <w:rFonts w:hint="eastAsia" w:ascii="仿宋_GB2312" w:hAnsi="宋体" w:eastAsia="仿宋_GB2312" w:cs="仿宋_GB2312"/>
          <w:sz w:val="32"/>
          <w:szCs w:val="32"/>
          <w:lang w:eastAsia="zh-CN"/>
        </w:rPr>
        <w:t>广东晟峰新材料科技有限公司（统一社会信用代码：91445322MA56W4T95U）：</w:t>
      </w:r>
    </w:p>
    <w:p>
      <w:pPr>
        <w:pStyle w:val="47"/>
        <w:tabs>
          <w:tab w:val="left" w:pos="6379"/>
        </w:tabs>
        <w:spacing w:line="560" w:lineRule="exact"/>
        <w:ind w:firstLine="618"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你单位报送的《广东晟峰新材料科技有限公司危险化学品仓库新建项目环境影响报告表》（以下简称</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报告</w:t>
      </w:r>
      <w:r>
        <w:rPr>
          <w:rFonts w:hint="eastAsia" w:ascii="仿宋_GB2312" w:hAnsi="宋体" w:eastAsia="仿宋_GB2312" w:cs="仿宋_GB2312"/>
          <w:sz w:val="32"/>
          <w:szCs w:val="32"/>
          <w:lang w:eastAsia="zh-CN"/>
        </w:rPr>
        <w:t>表”</w:t>
      </w:r>
      <w:r>
        <w:rPr>
          <w:rFonts w:hint="eastAsia" w:ascii="仿宋_GB2312" w:hAnsi="宋体" w:eastAsia="仿宋_GB2312" w:cs="仿宋_GB2312"/>
          <w:sz w:val="32"/>
          <w:szCs w:val="32"/>
        </w:rPr>
        <w:t>）等相关材料收悉。经研究,批复如下:</w:t>
      </w:r>
    </w:p>
    <w:p>
      <w:pPr>
        <w:pStyle w:val="47"/>
        <w:keepNext w:val="0"/>
        <w:keepLines w:val="0"/>
        <w:pageBreakBefore w:val="0"/>
        <w:widowControl w:val="0"/>
        <w:numPr>
          <w:ilvl w:val="0"/>
          <w:numId w:val="3"/>
        </w:numPr>
        <w:tabs>
          <w:tab w:val="left" w:pos="6379"/>
        </w:tabs>
        <w:kinsoku/>
        <w:wordWrap/>
        <w:overflowPunct/>
        <w:topLinePunct w:val="0"/>
        <w:autoSpaceDE/>
        <w:autoSpaceDN/>
        <w:bidi w:val="0"/>
        <w:adjustRightInd w:val="0"/>
        <w:snapToGrid/>
        <w:spacing w:line="560" w:lineRule="exact"/>
        <w:ind w:leftChars="0" w:firstLine="618" w:firstLineChars="200"/>
        <w:textAlignment w:val="baseline"/>
        <w:rPr>
          <w:rFonts w:hint="eastAsia" w:ascii="仿宋_GB2312" w:hAnsi="宋体" w:eastAsia="仿宋_GB2312" w:cs="仿宋_GB2312"/>
          <w:sz w:val="32"/>
          <w:szCs w:val="32"/>
        </w:rPr>
      </w:pPr>
      <w:r>
        <w:rPr>
          <w:rFonts w:hint="eastAsia" w:ascii="仿宋_GB2312" w:hAnsi="宋体" w:eastAsia="仿宋_GB2312" w:cs="仿宋_GB2312"/>
          <w:sz w:val="32"/>
          <w:szCs w:val="32"/>
        </w:rPr>
        <w:t>广东晟峰新材料科技有限公司危险化学品仓库新建项目（以下简称“项目”</w:t>
      </w:r>
      <w:r>
        <w:rPr>
          <w:rFonts w:hint="eastAsia" w:ascii="仿宋_GB2312" w:hAnsi="宋体" w:eastAsia="仿宋_GB2312" w:cs="仿宋_GB2312"/>
          <w:sz w:val="32"/>
          <w:szCs w:val="32"/>
          <w:lang w:eastAsia="zh-CN"/>
        </w:rPr>
        <w:t>，项目代码：2202-445322-04-01-766894</w:t>
      </w:r>
      <w:r>
        <w:rPr>
          <w:rFonts w:hint="eastAsia" w:ascii="仿宋_GB2312" w:hAnsi="宋体" w:eastAsia="仿宋_GB2312" w:cs="仿宋_GB2312"/>
          <w:sz w:val="32"/>
          <w:szCs w:val="32"/>
        </w:rPr>
        <w:t>）位于云浮市郁南县大湾镇工业园A13-1-a2地块</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地理坐标</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东经111°37'44.679"，北纬22°50'18.730"</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来源：91位图助手）</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，项目占地面积为43333.43</w:t>
      </w:r>
      <w:r>
        <w:rPr>
          <w:rFonts w:hint="eastAsia" w:ascii="仿宋_GB2312" w:hAnsi="宋体" w:eastAsia="仿宋_GB2312" w:cs="仿宋_GB2312"/>
          <w:sz w:val="32"/>
          <w:szCs w:val="32"/>
          <w:lang w:eastAsia="zh-CN"/>
        </w:rPr>
        <w:t>平方米</w:t>
      </w:r>
      <w:r>
        <w:rPr>
          <w:rFonts w:hint="eastAsia" w:ascii="仿宋_GB2312" w:hAnsi="宋体" w:eastAsia="仿宋_GB2312" w:cs="仿宋_GB2312"/>
          <w:sz w:val="32"/>
          <w:szCs w:val="32"/>
        </w:rPr>
        <w:t>，总投资为16500万，其中环保投资50万，项目主要从事危险化学品储存。本次建设内容主要包括一栋甲类仓库，三栋丙类仓库，以及一栋综合楼、一栋公用工程房、三栋甲类车间、一栋联合厂房及其他附属工程的建设（除仓库外，其他均为预留厂房/建筑，不含具体生产内容，后续如有进驻设备另行环评）。项目劳动定员为5人，均不在厂内食宿，年工作300天，其中仓库工作制度为一班制（8小时/天）；一体化污水处理设施需安排专人值班，三班制（一班8小时，为24小时/天）。</w:t>
      </w:r>
    </w:p>
    <w:p>
      <w:pPr>
        <w:pStyle w:val="47"/>
        <w:keepNext w:val="0"/>
        <w:keepLines w:val="0"/>
        <w:pageBreakBefore w:val="0"/>
        <w:widowControl w:val="0"/>
        <w:numPr>
          <w:ilvl w:val="0"/>
          <w:numId w:val="3"/>
        </w:numPr>
        <w:tabs>
          <w:tab w:val="left" w:pos="6379"/>
        </w:tabs>
        <w:kinsoku/>
        <w:wordWrap/>
        <w:overflowPunct/>
        <w:topLinePunct w:val="0"/>
        <w:autoSpaceDE/>
        <w:autoSpaceDN/>
        <w:bidi w:val="0"/>
        <w:adjustRightInd w:val="0"/>
        <w:snapToGrid/>
        <w:spacing w:line="560" w:lineRule="exact"/>
        <w:ind w:leftChars="0" w:firstLine="618" w:firstLineChars="200"/>
        <w:textAlignment w:val="baseline"/>
        <w:rPr>
          <w:rFonts w:ascii="仿宋_GB2312" w:hAnsi="宋体" w:eastAsia="仿宋_GB2312" w:cs="仿宋_GB2312"/>
          <w:sz w:val="32"/>
          <w:szCs w:val="32"/>
        </w:rPr>
      </w:pPr>
      <w:r>
        <w:rPr>
          <w:rFonts w:hint="eastAsia" w:ascii="仿宋_GB2312" w:hAnsi="宋体" w:eastAsia="仿宋_GB2312" w:cs="仿宋_GB2312"/>
          <w:sz w:val="32"/>
          <w:szCs w:val="32"/>
          <w:lang w:eastAsia="zh-CN"/>
        </w:rPr>
        <w:t>根据《报告表》的评价结论、广东粤环生态环境有限公司的技术评估意见，在全面落实《报告表》提出的各项污染防治和环境风险防范措施，并确保各类污染物稳定达标排放且符合总量控制要求的前提下，项目按照《报告表》中所列性质、规模、地点、采用的污染防治、防止生态破坏的措施进行建设，从生态环境保护角度可行。</w:t>
      </w:r>
      <w:r>
        <w:rPr>
          <w:rFonts w:hint="eastAsia" w:ascii="仿宋_GB2312" w:hAnsi="宋体" w:eastAsia="仿宋_GB2312" w:cs="仿宋_GB2312"/>
          <w:sz w:val="32"/>
          <w:szCs w:val="32"/>
        </w:rPr>
        <w:t>我局召开</w:t>
      </w:r>
      <w:r>
        <w:rPr>
          <w:rFonts w:hint="eastAsia" w:ascii="仿宋_GB2312" w:hAnsi="宋体" w:eastAsia="仿宋_GB2312" w:cs="仿宋_GB2312"/>
          <w:sz w:val="32"/>
          <w:szCs w:val="32"/>
          <w:lang w:eastAsia="zh-CN"/>
        </w:rPr>
        <w:t>建设</w:t>
      </w:r>
      <w:r>
        <w:rPr>
          <w:rFonts w:hint="eastAsia" w:ascii="仿宋_GB2312" w:hAnsi="宋体" w:eastAsia="仿宋_GB2312" w:cs="仿宋_GB2312"/>
          <w:sz w:val="32"/>
          <w:szCs w:val="32"/>
        </w:rPr>
        <w:t>项目环境影响评价审查会议审议</w:t>
      </w:r>
      <w:r>
        <w:rPr>
          <w:rFonts w:hint="eastAsia" w:ascii="仿宋_GB2312" w:hAnsi="宋体" w:eastAsia="仿宋_GB2312" w:cs="仿宋_GB2312"/>
          <w:sz w:val="32"/>
          <w:szCs w:val="32"/>
          <w:lang w:eastAsia="zh-CN"/>
        </w:rPr>
        <w:t>，原则</w:t>
      </w:r>
      <w:r>
        <w:rPr>
          <w:rFonts w:hint="eastAsia" w:ascii="仿宋_GB2312" w:hAnsi="宋体" w:eastAsia="仿宋_GB2312" w:cs="仿宋_GB2312"/>
          <w:sz w:val="32"/>
          <w:szCs w:val="32"/>
        </w:rPr>
        <w:t>通过了该</w:t>
      </w:r>
      <w:r>
        <w:rPr>
          <w:rFonts w:hint="eastAsia" w:ascii="仿宋_GB2312" w:hAnsi="宋体" w:eastAsia="仿宋_GB2312" w:cs="仿宋_GB2312"/>
          <w:sz w:val="32"/>
          <w:szCs w:val="32"/>
          <w:lang w:eastAsia="zh-CN"/>
        </w:rPr>
        <w:t>项目报批的《报告表》</w:t>
      </w:r>
      <w:r>
        <w:rPr>
          <w:rFonts w:hint="eastAsia" w:ascii="仿宋_GB2312" w:hAnsi="宋体" w:eastAsia="仿宋_GB2312" w:cs="仿宋_GB2312"/>
          <w:sz w:val="32"/>
          <w:szCs w:val="32"/>
        </w:rPr>
        <w:t>，你单位应按照</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报告</w:t>
      </w:r>
      <w:r>
        <w:rPr>
          <w:rFonts w:hint="eastAsia" w:ascii="仿宋_GB2312" w:hAnsi="宋体" w:eastAsia="仿宋_GB2312" w:cs="仿宋_GB2312"/>
          <w:sz w:val="32"/>
          <w:szCs w:val="32"/>
          <w:lang w:eastAsia="zh-CN"/>
        </w:rPr>
        <w:t>表》</w:t>
      </w:r>
      <w:r>
        <w:rPr>
          <w:rFonts w:hint="eastAsia" w:ascii="仿宋_GB2312" w:hAnsi="宋体" w:eastAsia="仿宋_GB2312" w:cs="仿宋_GB2312"/>
          <w:sz w:val="32"/>
          <w:szCs w:val="32"/>
        </w:rPr>
        <w:t>内容组织实施。</w:t>
      </w:r>
    </w:p>
    <w:p>
      <w:pPr>
        <w:pStyle w:val="47"/>
        <w:keepNext w:val="0"/>
        <w:keepLines w:val="0"/>
        <w:pageBreakBefore w:val="0"/>
        <w:widowControl w:val="0"/>
        <w:numPr>
          <w:ilvl w:val="0"/>
          <w:numId w:val="3"/>
        </w:numPr>
        <w:tabs>
          <w:tab w:val="left" w:pos="6379"/>
        </w:tabs>
        <w:kinsoku/>
        <w:wordWrap/>
        <w:overflowPunct/>
        <w:topLinePunct w:val="0"/>
        <w:autoSpaceDE/>
        <w:autoSpaceDN/>
        <w:bidi w:val="0"/>
        <w:adjustRightInd w:val="0"/>
        <w:snapToGrid/>
        <w:spacing w:line="560" w:lineRule="exact"/>
        <w:ind w:leftChars="0" w:firstLine="618" w:firstLineChars="200"/>
        <w:textAlignment w:val="baseline"/>
        <w:rPr>
          <w:rFonts w:ascii="仿宋_GB2312" w:hAnsi="宋体" w:eastAsia="仿宋_GB2312" w:cs="仿宋_GB2312"/>
          <w:sz w:val="32"/>
          <w:szCs w:val="32"/>
        </w:rPr>
      </w:pPr>
      <w:r>
        <w:rPr>
          <w:rFonts w:hint="eastAsia" w:ascii="仿宋_GB2312" w:hAnsi="宋体" w:eastAsia="仿宋_GB2312" w:cs="仿宋_GB2312"/>
          <w:sz w:val="32"/>
          <w:szCs w:val="32"/>
        </w:rPr>
        <w:t>项目建设和运营中还应重点做好以下工作：</w:t>
      </w:r>
    </w:p>
    <w:p>
      <w:pPr>
        <w:pStyle w:val="47"/>
        <w:keepNext w:val="0"/>
        <w:keepLines w:val="0"/>
        <w:pageBreakBefore w:val="0"/>
        <w:widowControl w:val="0"/>
        <w:numPr>
          <w:ilvl w:val="0"/>
          <w:numId w:val="0"/>
        </w:numPr>
        <w:tabs>
          <w:tab w:val="left" w:pos="6379"/>
        </w:tabs>
        <w:kinsoku/>
        <w:wordWrap/>
        <w:overflowPunct/>
        <w:topLinePunct w:val="0"/>
        <w:autoSpaceDE/>
        <w:autoSpaceDN/>
        <w:bidi w:val="0"/>
        <w:adjustRightInd w:val="0"/>
        <w:snapToGrid/>
        <w:spacing w:line="560" w:lineRule="exact"/>
        <w:ind w:firstLine="618" w:firstLineChars="200"/>
        <w:textAlignment w:val="baseline"/>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（一）落实大气污染防治措施，项目为仓储类项目，仓库不设分装和灌装等加工工序，确保无生产废气产生。</w:t>
      </w:r>
      <w:r>
        <w:rPr>
          <w:rFonts w:hint="eastAsia" w:ascii="仿宋_GB2312" w:hAnsi="宋体" w:eastAsia="仿宋_GB2312" w:cs="仿宋_GB2312"/>
          <w:sz w:val="32"/>
          <w:szCs w:val="32"/>
          <w:lang w:val="en-US" w:eastAsia="zh-CN"/>
        </w:rPr>
        <w:t>项目主要废气污染源为一体化污水设施运行过程中产生的臭气，主要污染物为NH</w:t>
      </w:r>
      <w:r>
        <w:rPr>
          <w:rFonts w:hint="eastAsia" w:ascii="仿宋_GB2312" w:hAnsi="宋体" w:eastAsia="仿宋_GB2312" w:cs="仿宋_GB2312"/>
          <w:sz w:val="32"/>
          <w:szCs w:val="32"/>
          <w:vertAlign w:val="subscript"/>
          <w:lang w:val="en-US" w:eastAsia="zh-CN"/>
        </w:rPr>
        <w:t>3</w:t>
      </w:r>
      <w:r>
        <w:rPr>
          <w:rFonts w:hint="eastAsia" w:ascii="仿宋_GB2312" w:hAnsi="宋体" w:eastAsia="仿宋_GB2312" w:cs="仿宋_GB2312"/>
          <w:sz w:val="32"/>
          <w:szCs w:val="32"/>
          <w:lang w:val="en-US" w:eastAsia="zh-CN"/>
        </w:rPr>
        <w:t>、H</w:t>
      </w:r>
      <w:r>
        <w:rPr>
          <w:rFonts w:hint="eastAsia" w:ascii="仿宋_GB2312" w:hAnsi="宋体" w:eastAsia="仿宋_GB2312" w:cs="仿宋_GB2312"/>
          <w:sz w:val="32"/>
          <w:szCs w:val="32"/>
          <w:vertAlign w:val="subscript"/>
          <w:lang w:val="en-US" w:eastAsia="zh-CN"/>
        </w:rPr>
        <w:t>2</w:t>
      </w:r>
      <w:r>
        <w:rPr>
          <w:rFonts w:hint="eastAsia" w:ascii="仿宋_GB2312" w:hAnsi="宋体" w:eastAsia="仿宋_GB2312" w:cs="仿宋_GB2312"/>
          <w:sz w:val="32"/>
          <w:szCs w:val="32"/>
          <w:lang w:val="en-US" w:eastAsia="zh-CN"/>
        </w:rPr>
        <w:t>S、臭气浓度，采取顶部加盖密封并定期喷洒除臭剂，达到《恶臭污染物排放标准》（GB14554-1993）中恶臭污染物新改扩建厂界标准值二级标准要求。</w:t>
      </w:r>
    </w:p>
    <w:p>
      <w:pPr>
        <w:pStyle w:val="47"/>
        <w:keepNext w:val="0"/>
        <w:keepLines w:val="0"/>
        <w:pageBreakBefore w:val="0"/>
        <w:widowControl w:val="0"/>
        <w:numPr>
          <w:ilvl w:val="0"/>
          <w:numId w:val="0"/>
        </w:numPr>
        <w:tabs>
          <w:tab w:val="left" w:pos="6379"/>
        </w:tabs>
        <w:kinsoku/>
        <w:wordWrap/>
        <w:overflowPunct/>
        <w:topLinePunct w:val="0"/>
        <w:autoSpaceDE/>
        <w:autoSpaceDN/>
        <w:bidi w:val="0"/>
        <w:adjustRightInd w:val="0"/>
        <w:snapToGrid/>
        <w:spacing w:line="560" w:lineRule="exact"/>
        <w:ind w:firstLine="618" w:firstLineChars="200"/>
        <w:textAlignment w:val="baseline"/>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二）落实水污染防治措施，生活污水、综合废水（地面清洗废水和初期雨水）分类收集经自建污水处理设施预处理达到广东省地方标准《水污染物排放限值》(DB44/26-2001)第二时段三级标准和郁南县大湾镇污水处理厂进水水质标准较严值后通过园区污水管网排放至</w:t>
      </w:r>
      <w:r>
        <w:rPr>
          <w:rFonts w:hint="eastAsia" w:ascii="仿宋_GB2312" w:hAnsi="宋体" w:eastAsia="仿宋_GB2312" w:cs="仿宋_GB2312"/>
          <w:sz w:val="32"/>
          <w:szCs w:val="32"/>
          <w:lang w:eastAsia="zh-CN"/>
        </w:rPr>
        <w:t>郁南县大湾镇污水处理厂</w:t>
      </w:r>
      <w:r>
        <w:rPr>
          <w:rFonts w:hint="eastAsia" w:ascii="仿宋_GB2312" w:hAnsi="宋体" w:eastAsia="仿宋_GB2312" w:cs="仿宋_GB2312"/>
          <w:sz w:val="32"/>
          <w:szCs w:val="32"/>
          <w:lang w:eastAsia="zh-CN"/>
        </w:rPr>
        <w:t>进行深度达标处理。</w:t>
      </w:r>
    </w:p>
    <w:p>
      <w:pPr>
        <w:pStyle w:val="47"/>
        <w:keepNext w:val="0"/>
        <w:keepLines w:val="0"/>
        <w:pageBreakBefore w:val="0"/>
        <w:widowControl w:val="0"/>
        <w:numPr>
          <w:ilvl w:val="0"/>
          <w:numId w:val="0"/>
        </w:numPr>
        <w:tabs>
          <w:tab w:val="left" w:pos="6379"/>
        </w:tabs>
        <w:kinsoku/>
        <w:wordWrap/>
        <w:overflowPunct/>
        <w:topLinePunct w:val="0"/>
        <w:autoSpaceDE/>
        <w:autoSpaceDN/>
        <w:bidi w:val="0"/>
        <w:adjustRightInd w:val="0"/>
        <w:snapToGrid/>
        <w:spacing w:line="560" w:lineRule="exact"/>
        <w:ind w:firstLine="618" w:firstLineChars="200"/>
        <w:textAlignment w:val="baseline"/>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（三）通过优化厂区布局，选用低噪声设备及采取减震、隔音、降噪等措施，确保厂界噪声符合《工业企业厂界环境噪声排放标准》（GB12348-2008）中的3类声环境功能区排放限值要求。</w:t>
      </w:r>
    </w:p>
    <w:p>
      <w:pPr>
        <w:pStyle w:val="47"/>
        <w:keepNext w:val="0"/>
        <w:keepLines w:val="0"/>
        <w:pageBreakBefore w:val="0"/>
        <w:widowControl w:val="0"/>
        <w:numPr>
          <w:ilvl w:val="0"/>
          <w:numId w:val="0"/>
        </w:numPr>
        <w:tabs>
          <w:tab w:val="left" w:pos="6379"/>
        </w:tabs>
        <w:kinsoku/>
        <w:wordWrap/>
        <w:overflowPunct/>
        <w:topLinePunct w:val="0"/>
        <w:autoSpaceDE/>
        <w:autoSpaceDN/>
        <w:bidi w:val="0"/>
        <w:adjustRightInd w:val="0"/>
        <w:snapToGrid/>
        <w:spacing w:line="560" w:lineRule="exact"/>
        <w:ind w:firstLine="618" w:firstLineChars="200"/>
        <w:textAlignment w:val="baseline"/>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（四）按固体废物“资源化、减量化、无害化”处理处置原则，落实各类固体废物的处置和综合利用措施，危险废物须妥善收集后交有资质的危险废物处理单位处理。</w:t>
      </w:r>
    </w:p>
    <w:p>
      <w:pPr>
        <w:pStyle w:val="47"/>
        <w:keepNext w:val="0"/>
        <w:keepLines w:val="0"/>
        <w:pageBreakBefore w:val="0"/>
        <w:widowControl w:val="0"/>
        <w:numPr>
          <w:ilvl w:val="0"/>
          <w:numId w:val="0"/>
        </w:numPr>
        <w:tabs>
          <w:tab w:val="left" w:pos="6379"/>
        </w:tabs>
        <w:kinsoku/>
        <w:wordWrap/>
        <w:overflowPunct/>
        <w:topLinePunct w:val="0"/>
        <w:autoSpaceDE/>
        <w:autoSpaceDN/>
        <w:bidi w:val="0"/>
        <w:adjustRightInd w:val="0"/>
        <w:snapToGrid/>
        <w:spacing w:line="560" w:lineRule="exact"/>
        <w:ind w:firstLine="618" w:firstLineChars="200"/>
        <w:textAlignment w:val="baseline"/>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（五）做好存储化学品及仓库、废水收集处理设施等的防腐防渗措施，并采取措施防止跑、冒、滴、漏，避免污染土壤、地下水。</w:t>
      </w:r>
    </w:p>
    <w:p>
      <w:pPr>
        <w:pStyle w:val="47"/>
        <w:keepNext w:val="0"/>
        <w:keepLines w:val="0"/>
        <w:pageBreakBefore w:val="0"/>
        <w:widowControl w:val="0"/>
        <w:numPr>
          <w:ilvl w:val="0"/>
          <w:numId w:val="0"/>
        </w:numPr>
        <w:tabs>
          <w:tab w:val="left" w:pos="6379"/>
        </w:tabs>
        <w:kinsoku/>
        <w:wordWrap/>
        <w:overflowPunct/>
        <w:topLinePunct w:val="0"/>
        <w:autoSpaceDE/>
        <w:autoSpaceDN/>
        <w:bidi w:val="0"/>
        <w:adjustRightInd w:val="0"/>
        <w:snapToGrid/>
        <w:spacing w:line="560" w:lineRule="exact"/>
        <w:ind w:firstLine="618" w:firstLineChars="200"/>
        <w:textAlignment w:val="baseline"/>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六）落实环境风险预防措施，强化环境风险防范管理，制订突发环境事件应急预案，建立健全环境事故应急体系，设置足够容积的事故应急收集设施和雨污水管道隔离闸，落实有效的事故风险防范、应急措施，加强事故应急演练，保证各类事故性排放得到收集和妥善处理，确保环境安全。</w:t>
      </w:r>
    </w:p>
    <w:p>
      <w:pPr>
        <w:pStyle w:val="47"/>
        <w:keepNext w:val="0"/>
        <w:keepLines w:val="0"/>
        <w:pageBreakBefore w:val="0"/>
        <w:widowControl w:val="0"/>
        <w:numPr>
          <w:ilvl w:val="0"/>
          <w:numId w:val="0"/>
        </w:numPr>
        <w:tabs>
          <w:tab w:val="left" w:pos="6379"/>
        </w:tabs>
        <w:kinsoku/>
        <w:wordWrap/>
        <w:overflowPunct/>
        <w:topLinePunct w:val="0"/>
        <w:autoSpaceDE/>
        <w:autoSpaceDN/>
        <w:bidi w:val="0"/>
        <w:adjustRightInd w:val="0"/>
        <w:snapToGrid/>
        <w:spacing w:line="560" w:lineRule="exact"/>
        <w:ind w:firstLine="618" w:firstLineChars="200"/>
        <w:textAlignment w:val="baseline"/>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七）做好施工期的环境保护工作，落实施工期污染防治措施。合理安排施工时间，选择低噪声施工设备，并采用有效消声减噪措施，防止噪声影响，施工期噪声执行《建筑施工场界环境噪声排放标准》（GB12523-2011）排放限值。施工现场应采取有效的水污染防治措施，落实“六个 100%”等扬尘防治措施，施工扬尘等大气污染物排放应符合广东省地方标准《大气污染物排放限值》（DB44/27-2001）第二时段无组织排放监控浓度限值要求。</w:t>
      </w:r>
    </w:p>
    <w:p>
      <w:pPr>
        <w:pStyle w:val="47"/>
        <w:keepNext w:val="0"/>
        <w:keepLines w:val="0"/>
        <w:pageBreakBefore w:val="0"/>
        <w:widowControl w:val="0"/>
        <w:numPr>
          <w:ilvl w:val="0"/>
          <w:numId w:val="0"/>
        </w:numPr>
        <w:tabs>
          <w:tab w:val="left" w:pos="6379"/>
        </w:tabs>
        <w:kinsoku/>
        <w:wordWrap/>
        <w:overflowPunct/>
        <w:topLinePunct w:val="0"/>
        <w:autoSpaceDE/>
        <w:autoSpaceDN/>
        <w:bidi w:val="0"/>
        <w:adjustRightInd w:val="0"/>
        <w:snapToGrid/>
        <w:spacing w:line="560" w:lineRule="exact"/>
        <w:ind w:firstLine="618" w:firstLineChars="200"/>
        <w:textAlignment w:val="baseline"/>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（八）如颁布了适用于本项目的污染物排放的新标准或要求，则按新标准或要求执行。</w:t>
      </w:r>
    </w:p>
    <w:p>
      <w:pPr>
        <w:pStyle w:val="47"/>
        <w:keepNext w:val="0"/>
        <w:keepLines w:val="0"/>
        <w:pageBreakBefore w:val="0"/>
        <w:widowControl w:val="0"/>
        <w:numPr>
          <w:ilvl w:val="0"/>
          <w:numId w:val="0"/>
        </w:numPr>
        <w:tabs>
          <w:tab w:val="left" w:pos="6379"/>
        </w:tabs>
        <w:kinsoku/>
        <w:wordWrap/>
        <w:overflowPunct/>
        <w:topLinePunct w:val="0"/>
        <w:autoSpaceDE/>
        <w:autoSpaceDN/>
        <w:bidi w:val="0"/>
        <w:adjustRightInd w:val="0"/>
        <w:snapToGrid/>
        <w:spacing w:line="560" w:lineRule="exact"/>
        <w:ind w:firstLine="618" w:firstLineChars="200"/>
        <w:textAlignment w:val="baseline"/>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四、《报告表》经批准后，建设项目的性质、规模、地点、采用的生产工艺或者防治污染、防止生态破坏的措施发生重大变动的，你单位应当重新报批建设项目的环境影响评价文件。</w:t>
      </w:r>
    </w:p>
    <w:p>
      <w:pPr>
        <w:pStyle w:val="47"/>
        <w:keepNext w:val="0"/>
        <w:keepLines w:val="0"/>
        <w:pageBreakBefore w:val="0"/>
        <w:widowControl w:val="0"/>
        <w:numPr>
          <w:ilvl w:val="0"/>
          <w:numId w:val="0"/>
        </w:numPr>
        <w:tabs>
          <w:tab w:val="left" w:pos="6379"/>
        </w:tabs>
        <w:kinsoku/>
        <w:wordWrap/>
        <w:overflowPunct/>
        <w:topLinePunct w:val="0"/>
        <w:autoSpaceDE/>
        <w:autoSpaceDN/>
        <w:bidi w:val="0"/>
        <w:adjustRightInd w:val="0"/>
        <w:snapToGrid/>
        <w:spacing w:line="560" w:lineRule="exact"/>
        <w:ind w:firstLine="618" w:firstLineChars="200"/>
        <w:textAlignment w:val="baseline"/>
        <w:rPr>
          <w:rFonts w:hint="eastAsia" w:ascii="仿宋_GB2312" w:hAnsi="宋体" w:eastAsia="仿宋_GB2312" w:cs="仿宋_GB2312"/>
          <w:sz w:val="32"/>
          <w:szCs w:val="32"/>
        </w:rPr>
      </w:pPr>
      <w:r>
        <w:rPr>
          <w:rFonts w:hint="eastAsia" w:ascii="仿宋_GB2312" w:hAnsi="宋体" w:eastAsia="仿宋_GB2312" w:cs="仿宋_GB2312"/>
          <w:sz w:val="32"/>
          <w:szCs w:val="32"/>
          <w:lang w:eastAsia="zh-CN"/>
        </w:rPr>
        <w:t>五、</w:t>
      </w:r>
      <w:r>
        <w:rPr>
          <w:rFonts w:hint="eastAsia" w:ascii="仿宋_GB2312" w:hAnsi="宋体" w:eastAsia="仿宋_GB2312" w:cs="仿宋_GB2312"/>
          <w:sz w:val="32"/>
          <w:szCs w:val="32"/>
        </w:rPr>
        <w:t>该项目还应严格执行配套建设的环境保护设施与主体工程同时设计、同时施工、同时投产使用的环境保护“三同时”制度。项目建成后，你单位应当按照国务院生态环境行政主管部门规定的标准和程序，对配套建设的环境保护设施进行验收。建设项目环境保护“三同时”监督管理工作由云浮市生态环境局郁南分局</w:t>
      </w:r>
      <w:r>
        <w:rPr>
          <w:rFonts w:hint="eastAsia" w:ascii="仿宋" w:hAnsi="仿宋" w:eastAsia="仿宋"/>
          <w:sz w:val="32"/>
          <w:szCs w:val="32"/>
          <w:lang w:eastAsia="zh-CN"/>
        </w:rPr>
        <w:t>执法大队</w:t>
      </w:r>
      <w:r>
        <w:rPr>
          <w:rFonts w:hint="eastAsia" w:ascii="仿宋_GB2312" w:hAnsi="宋体" w:eastAsia="仿宋_GB2312" w:cs="仿宋_GB2312"/>
          <w:sz w:val="32"/>
          <w:szCs w:val="32"/>
        </w:rPr>
        <w:t>负责。</w:t>
      </w:r>
    </w:p>
    <w:p>
      <w:pPr>
        <w:spacing w:line="560" w:lineRule="exact"/>
        <w:ind w:right="640" w:firstLine="618" w:firstLineChars="200"/>
        <w:rPr>
          <w:rFonts w:ascii="仿宋_GB2312" w:hAnsi="仿宋_GB2312" w:eastAsia="仿宋_GB2312"/>
          <w:sz w:val="32"/>
          <w:szCs w:val="32"/>
        </w:rPr>
      </w:pPr>
      <w:r>
        <w:rPr>
          <w:rFonts w:hint="eastAsia" w:ascii="仿宋_GB2312" w:hAnsi="仿宋_GB2312" w:eastAsia="仿宋_GB2312"/>
          <w:sz w:val="32"/>
          <w:szCs w:val="32"/>
          <w:lang w:eastAsia="zh-CN"/>
        </w:rPr>
        <w:t>六</w:t>
      </w:r>
      <w:r>
        <w:rPr>
          <w:rFonts w:hint="eastAsia" w:ascii="仿宋_GB2312" w:hAnsi="仿宋_GB2312" w:eastAsia="仿宋_GB2312"/>
          <w:sz w:val="32"/>
          <w:szCs w:val="32"/>
        </w:rPr>
        <w:t>、其他未尽事宜，以有关法律、法规为准。</w:t>
      </w:r>
    </w:p>
    <w:p>
      <w:pPr>
        <w:pStyle w:val="47"/>
        <w:spacing w:line="560" w:lineRule="exact"/>
        <w:ind w:firstLine="618" w:firstLineChars="200"/>
        <w:jc w:val="right"/>
        <w:rPr>
          <w:rFonts w:hint="eastAsia" w:ascii="仿宋_GB2312" w:hAnsi="宋体" w:eastAsia="仿宋_GB2312" w:cs="仿宋_GB2312"/>
          <w:sz w:val="32"/>
          <w:szCs w:val="32"/>
        </w:rPr>
      </w:pPr>
    </w:p>
    <w:p>
      <w:pPr>
        <w:pStyle w:val="47"/>
        <w:spacing w:line="560" w:lineRule="exact"/>
        <w:ind w:firstLine="618" w:firstLineChars="200"/>
        <w:jc w:val="right"/>
        <w:rPr>
          <w:rFonts w:hint="eastAsia" w:ascii="仿宋_GB2312" w:hAnsi="宋体" w:eastAsia="仿宋_GB2312" w:cs="仿宋_GB2312"/>
          <w:sz w:val="32"/>
          <w:szCs w:val="32"/>
        </w:rPr>
      </w:pPr>
    </w:p>
    <w:p>
      <w:pPr>
        <w:pStyle w:val="47"/>
        <w:spacing w:line="560" w:lineRule="exact"/>
        <w:ind w:firstLine="618" w:firstLineChars="200"/>
        <w:jc w:val="right"/>
        <w:rPr>
          <w:rFonts w:ascii="仿宋_GB2312" w:hAnsi="宋体" w:eastAsia="仿宋_GB2312" w:cs="仿宋_GB2312"/>
          <w:sz w:val="32"/>
          <w:szCs w:val="32"/>
        </w:rPr>
      </w:pPr>
      <w:r>
        <w:rPr>
          <w:rFonts w:hint="eastAsia" w:ascii="仿宋_GB2312" w:hAnsi="宋体" w:eastAsia="仿宋_GB2312" w:cs="仿宋_GB2312"/>
          <w:sz w:val="32"/>
          <w:szCs w:val="32"/>
        </w:rPr>
        <w:t>云浮市生态环境局</w:t>
      </w:r>
    </w:p>
    <w:p>
      <w:pPr>
        <w:wordWrap w:val="0"/>
        <w:ind w:firstLine="652"/>
        <w:jc w:val="right"/>
        <w:rPr>
          <w:rFonts w:hint="eastAsia" w:ascii="仿宋_GB2312" w:hAnsi="宋体" w:eastAsia="仿宋_GB2312" w:cs="仿宋_GB2312"/>
          <w:sz w:val="32"/>
          <w:szCs w:val="32"/>
          <w:lang w:val="en-US" w:eastAsia="zh-CN"/>
        </w:rPr>
      </w:pPr>
      <w:r>
        <w:rPr>
          <w:rFonts w:ascii="仿宋_GB2312" w:hAnsi="宋体" w:eastAsia="仿宋_GB2312" w:cs="仿宋_GB2312"/>
          <w:sz w:val="32"/>
          <w:szCs w:val="32"/>
        </w:rPr>
        <w:t>20</w:t>
      </w:r>
      <w:r>
        <w:rPr>
          <w:rFonts w:hint="eastAsia" w:ascii="仿宋_GB2312" w:hAnsi="宋体" w:eastAsia="仿宋_GB2312" w:cs="仿宋_GB2312"/>
          <w:sz w:val="32"/>
          <w:szCs w:val="32"/>
        </w:rPr>
        <w:t>2</w:t>
      </w:r>
      <w:r>
        <w:rPr>
          <w:rFonts w:hint="eastAsia" w:ascii="仿宋_GB2312" w:hAnsi="宋体" w:eastAsia="仿宋_GB2312" w:cs="仿宋_GB2312"/>
          <w:sz w:val="32"/>
          <w:szCs w:val="32"/>
          <w:lang w:val="en-US" w:eastAsia="zh-CN"/>
        </w:rPr>
        <w:t>3</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val="en-US" w:eastAsia="zh-CN"/>
        </w:rPr>
        <w:t>6</w:t>
      </w:r>
      <w:r>
        <w:rPr>
          <w:rFonts w:hint="eastAsia" w:ascii="仿宋_GB2312" w:hAnsi="宋体" w:eastAsia="仿宋_GB2312" w:cs="仿宋_GB2312"/>
          <w:sz w:val="32"/>
          <w:szCs w:val="32"/>
        </w:rPr>
        <w:t>月</w:t>
      </w:r>
      <w:r>
        <w:rPr>
          <w:rFonts w:hint="eastAsia" w:ascii="仿宋_GB2312" w:hAnsi="宋体" w:eastAsia="仿宋_GB2312" w:cs="仿宋_GB2312"/>
          <w:sz w:val="32"/>
          <w:szCs w:val="32"/>
          <w:lang w:val="en-US" w:eastAsia="zh-CN"/>
        </w:rPr>
        <w:t>29日</w:t>
      </w:r>
    </w:p>
    <w:p>
      <w:pPr>
        <w:spacing w:line="560" w:lineRule="exact"/>
        <w:rPr>
          <w:rFonts w:ascii="仿宋" w:hAnsi="仿宋" w:eastAsia="仿宋"/>
          <w:sz w:val="32"/>
          <w:szCs w:val="32"/>
        </w:rPr>
      </w:pPr>
      <w:r>
        <w:rPr>
          <w:rFonts w:hint="eastAsia"/>
          <w:b/>
          <w:sz w:val="32"/>
          <w:szCs w:val="32"/>
        </w:rPr>
        <w:t>公开方式：</w:t>
      </w:r>
      <w:r>
        <w:rPr>
          <w:rFonts w:hint="eastAsia"/>
          <w:sz w:val="32"/>
          <w:szCs w:val="32"/>
        </w:rPr>
        <w:t>主动公开</w:t>
      </w:r>
    </w:p>
    <w:tbl>
      <w:tblPr>
        <w:tblStyle w:val="28"/>
        <w:tblW w:w="9288" w:type="dxa"/>
        <w:tblInd w:w="0" w:type="dxa"/>
        <w:tblBorders>
          <w:top w:val="none" w:color="auto" w:sz="0" w:space="0"/>
          <w:left w:val="none" w:color="auto" w:sz="0" w:space="0"/>
          <w:bottom w:val="none" w:color="auto" w:sz="0" w:space="0"/>
          <w:right w:val="none" w:color="auto" w:sz="0" w:space="0"/>
          <w:insideH w:val="single" w:color="auto" w:sz="8" w:space="0"/>
          <w:insideV w:val="none" w:color="auto" w:sz="0" w:space="0"/>
        </w:tblBorders>
        <w:tblLayout w:type="fixed"/>
        <w:tblCellMar>
          <w:top w:w="0" w:type="dxa"/>
          <w:left w:w="108" w:type="dxa"/>
          <w:bottom w:w="0" w:type="dxa"/>
          <w:right w:w="108" w:type="dxa"/>
        </w:tblCellMar>
      </w:tblPr>
      <w:tblGrid>
        <w:gridCol w:w="9288"/>
      </w:tblGrid>
      <w:tr>
        <w:tblPrEx>
          <w:tblBorders>
            <w:top w:val="none" w:color="auto" w:sz="0" w:space="0"/>
            <w:left w:val="none" w:color="auto" w:sz="0" w:space="0"/>
            <w:bottom w:val="none" w:color="auto" w:sz="0" w:space="0"/>
            <w:right w:val="none" w:color="auto" w:sz="0" w:space="0"/>
            <w:insideH w:val="single" w:color="auto" w:sz="8" w:space="0"/>
            <w:insideV w:val="none" w:color="auto" w:sz="0" w:space="0"/>
          </w:tblBorders>
          <w:tblCellMar>
            <w:top w:w="0" w:type="dxa"/>
            <w:left w:w="108" w:type="dxa"/>
            <w:bottom w:w="0" w:type="dxa"/>
            <w:right w:w="108" w:type="dxa"/>
          </w:tblCellMar>
        </w:tblPrEx>
        <w:trPr>
          <w:trHeight w:val="910" w:hRule="atLeast"/>
        </w:trPr>
        <w:tc>
          <w:tcPr>
            <w:tcW w:w="9288" w:type="dxa"/>
            <w:tcBorders>
              <w:top w:val="single" w:color="auto" w:sz="8" w:space="0"/>
              <w:bottom w:val="single" w:color="auto" w:sz="8" w:space="0"/>
            </w:tcBorders>
          </w:tcPr>
          <w:p>
            <w:pPr>
              <w:spacing w:line="560" w:lineRule="exact"/>
              <w:ind w:left="940" w:leftChars="67" w:hanging="807" w:hangingChars="300"/>
              <w:rPr>
                <w:rFonts w:hint="eastAsia" w:eastAsia="仿宋_GB2312"/>
                <w:sz w:val="28"/>
                <w:szCs w:val="28"/>
                <w:lang w:eastAsia="zh-CN"/>
              </w:rPr>
            </w:pPr>
            <w:r>
              <w:rPr>
                <w:rFonts w:eastAsia="仿宋_GB2312"/>
                <w:sz w:val="28"/>
                <w:szCs w:val="28"/>
              </w:rPr>
              <w:t>抄</w:t>
            </w:r>
            <w:r>
              <w:rPr>
                <w:rFonts w:hint="eastAsia" w:eastAsia="仿宋_GB2312"/>
                <w:sz w:val="28"/>
                <w:szCs w:val="28"/>
                <w:lang w:eastAsia="zh-CN"/>
              </w:rPr>
              <w:t>报</w:t>
            </w:r>
            <w:r>
              <w:rPr>
                <w:rFonts w:eastAsia="仿宋_GB2312"/>
                <w:sz w:val="28"/>
                <w:szCs w:val="28"/>
              </w:rPr>
              <w:t>：</w:t>
            </w:r>
            <w:r>
              <w:rPr>
                <w:rFonts w:hint="eastAsia" w:eastAsia="仿宋_GB2312"/>
                <w:sz w:val="28"/>
                <w:szCs w:val="28"/>
                <w:lang w:eastAsia="zh-CN"/>
              </w:rPr>
              <w:t>云浮市生态环境局</w:t>
            </w:r>
          </w:p>
          <w:p>
            <w:pPr>
              <w:spacing w:line="560" w:lineRule="exact"/>
              <w:ind w:left="940" w:leftChars="67" w:hanging="807" w:hangingChars="300"/>
              <w:rPr>
                <w:rFonts w:hint="eastAsia" w:eastAsia="仿宋_GB2312"/>
                <w:sz w:val="28"/>
                <w:szCs w:val="28"/>
                <w:lang w:eastAsia="zh-CN"/>
              </w:rPr>
            </w:pPr>
            <w:r>
              <w:rPr>
                <w:rFonts w:hint="eastAsia" w:eastAsia="仿宋_GB2312"/>
                <w:sz w:val="28"/>
                <w:szCs w:val="28"/>
                <w:lang w:eastAsia="zh-CN"/>
              </w:rPr>
              <w:t>抄送：</w:t>
            </w:r>
            <w:r>
              <w:rPr>
                <w:rFonts w:hint="eastAsia" w:eastAsia="仿宋_GB2312"/>
                <w:sz w:val="28"/>
                <w:szCs w:val="28"/>
              </w:rPr>
              <w:t>云浮市生态环境局郁南分局</w:t>
            </w:r>
            <w:r>
              <w:rPr>
                <w:rFonts w:hint="eastAsia" w:eastAsia="仿宋_GB2312"/>
                <w:sz w:val="28"/>
                <w:szCs w:val="28"/>
                <w:lang w:eastAsia="zh-CN"/>
              </w:rPr>
              <w:t>执法大队、广东粤环生态环境有限公司</w:t>
            </w:r>
          </w:p>
        </w:tc>
      </w:tr>
      <w:tr>
        <w:tblPrEx>
          <w:tblBorders>
            <w:top w:val="none" w:color="auto" w:sz="0" w:space="0"/>
            <w:left w:val="none" w:color="auto" w:sz="0" w:space="0"/>
            <w:bottom w:val="none" w:color="auto" w:sz="0" w:space="0"/>
            <w:right w:val="none" w:color="auto" w:sz="0" w:space="0"/>
            <w:insideH w:val="single" w:color="auto" w:sz="8" w:space="0"/>
            <w:insideV w:val="none" w:color="auto" w:sz="0" w:space="0"/>
          </w:tblBorders>
          <w:tblCellMar>
            <w:top w:w="0" w:type="dxa"/>
            <w:left w:w="108" w:type="dxa"/>
            <w:bottom w:w="0" w:type="dxa"/>
            <w:right w:w="108" w:type="dxa"/>
          </w:tblCellMar>
        </w:tblPrEx>
        <w:trPr>
          <w:trHeight w:val="321" w:hRule="atLeast"/>
        </w:trPr>
        <w:tc>
          <w:tcPr>
            <w:tcW w:w="9288" w:type="dxa"/>
            <w:tcBorders>
              <w:top w:val="single" w:color="auto" w:sz="8" w:space="0"/>
              <w:bottom w:val="single" w:color="auto" w:sz="8" w:space="0"/>
            </w:tcBorders>
          </w:tcPr>
          <w:p>
            <w:pPr>
              <w:spacing w:line="560" w:lineRule="exact"/>
              <w:ind w:left="940" w:leftChars="67" w:hanging="807" w:hangingChars="300"/>
              <w:rPr>
                <w:rFonts w:eastAsia="仿宋_GB2312"/>
                <w:sz w:val="28"/>
                <w:szCs w:val="28"/>
              </w:rPr>
            </w:pPr>
            <w:r>
              <w:rPr>
                <w:rFonts w:hint="eastAsia" w:eastAsia="仿宋_GB2312"/>
                <w:sz w:val="28"/>
                <w:szCs w:val="28"/>
              </w:rPr>
              <w:t>云浮市生态环境局</w:t>
            </w:r>
            <w:r>
              <w:rPr>
                <w:rFonts w:hint="eastAsia" w:eastAsia="仿宋_GB2312"/>
                <w:sz w:val="28"/>
                <w:szCs w:val="28"/>
                <w:lang w:eastAsia="zh-CN"/>
              </w:rPr>
              <w:t>郁南分局</w:t>
            </w:r>
            <w:r>
              <w:rPr>
                <w:rFonts w:hint="eastAsia" w:eastAsia="仿宋_GB2312"/>
                <w:sz w:val="28"/>
                <w:szCs w:val="28"/>
              </w:rPr>
              <w:t xml:space="preserve">办公室       </w:t>
            </w:r>
            <w:r>
              <w:rPr>
                <w:rFonts w:hint="eastAsia" w:eastAsia="仿宋_GB2312"/>
                <w:sz w:val="28"/>
                <w:szCs w:val="28"/>
                <w:lang w:val="en-US" w:eastAsia="zh-CN"/>
              </w:rPr>
              <w:t xml:space="preserve">       </w:t>
            </w:r>
            <w:r>
              <w:rPr>
                <w:rFonts w:hint="eastAsia" w:eastAsia="仿宋_GB2312"/>
                <w:sz w:val="28"/>
                <w:szCs w:val="28"/>
              </w:rPr>
              <w:t xml:space="preserve">   </w:t>
            </w:r>
            <w:r>
              <w:rPr>
                <w:rFonts w:hint="eastAsia" w:ascii="仿宋_GB2312" w:hAnsi="宋体" w:eastAsia="仿宋_GB2312" w:cs="仿宋_GB2312"/>
                <w:sz w:val="28"/>
                <w:szCs w:val="28"/>
              </w:rPr>
              <w:t>202</w:t>
            </w:r>
            <w:r>
              <w:rPr>
                <w:rFonts w:hint="eastAsia" w:ascii="仿宋_GB2312" w:hAnsi="宋体" w:eastAsia="仿宋_GB2312" w:cs="仿宋_GB2312"/>
                <w:sz w:val="28"/>
                <w:szCs w:val="28"/>
                <w:lang w:val="en-US" w:eastAsia="zh-CN"/>
              </w:rPr>
              <w:t>3</w:t>
            </w:r>
            <w:r>
              <w:rPr>
                <w:rFonts w:hint="eastAsia" w:ascii="仿宋_GB2312" w:hAnsi="宋体" w:eastAsia="仿宋_GB2312" w:cs="仿宋_GB2312"/>
                <w:sz w:val="28"/>
                <w:szCs w:val="28"/>
              </w:rPr>
              <w:t>年</w:t>
            </w:r>
            <w:r>
              <w:rPr>
                <w:rFonts w:hint="eastAsia" w:ascii="仿宋_GB2312" w:hAnsi="宋体" w:eastAsia="仿宋_GB2312" w:cs="仿宋_GB2312"/>
                <w:sz w:val="28"/>
                <w:szCs w:val="28"/>
                <w:lang w:val="en-US" w:eastAsia="zh-CN"/>
              </w:rPr>
              <w:t>6</w:t>
            </w:r>
            <w:r>
              <w:rPr>
                <w:rFonts w:hint="eastAsia" w:ascii="仿宋_GB2312" w:hAnsi="宋体" w:eastAsia="仿宋_GB2312" w:cs="仿宋_GB2312"/>
                <w:sz w:val="28"/>
                <w:szCs w:val="28"/>
              </w:rPr>
              <w:t>月</w:t>
            </w:r>
            <w:r>
              <w:rPr>
                <w:rFonts w:hint="eastAsia" w:ascii="仿宋_GB2312" w:hAnsi="宋体" w:eastAsia="仿宋_GB2312" w:cs="仿宋_GB2312"/>
                <w:sz w:val="28"/>
                <w:szCs w:val="28"/>
                <w:lang w:val="en-US" w:eastAsia="zh-CN"/>
              </w:rPr>
              <w:t>29</w:t>
            </w:r>
            <w:r>
              <w:rPr>
                <w:rFonts w:hint="eastAsia" w:ascii="仿宋_GB2312" w:hAnsi="宋体" w:eastAsia="仿宋_GB2312" w:cs="仿宋_GB2312"/>
                <w:sz w:val="28"/>
                <w:szCs w:val="28"/>
              </w:rPr>
              <w:t>日印发</w:t>
            </w:r>
          </w:p>
        </w:tc>
      </w:tr>
    </w:tbl>
    <w:p>
      <w:pPr>
        <w:spacing w:line="560" w:lineRule="exact"/>
        <w:rPr>
          <w:rFonts w:ascii="仿宋" w:hAnsi="仿宋" w:eastAsia="仿宋"/>
          <w:sz w:val="32"/>
          <w:szCs w:val="32"/>
        </w:rPr>
      </w:pPr>
    </w:p>
    <w:sectPr>
      <w:footerReference r:id="rId3" w:type="default"/>
      <w:footerReference r:id="rId4" w:type="even"/>
      <w:pgSz w:w="11906" w:h="16838"/>
      <w:pgMar w:top="2098" w:right="1588" w:bottom="1985" w:left="1588" w:header="851" w:footer="1588" w:gutter="0"/>
      <w:cols w:space="425" w:num="1"/>
      <w:docGrid w:type="linesAndChars" w:linePitch="579" w:charSpace="-237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TimesNewRomanPSMT">
    <w:altName w:val="Times New Roman"/>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27884503"/>
      <w:docPartObj>
        <w:docPartGallery w:val="autotext"/>
      </w:docPartObj>
    </w:sdtPr>
    <w:sdtEndPr>
      <w:rPr>
        <w:lang w:val="zh-CN"/>
      </w:rPr>
    </w:sdtEndPr>
    <w:sdtContent>
      <w:p>
        <w:pPr>
          <w:pStyle w:val="24"/>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3</w:t>
        </w:r>
        <w:r>
          <w:rPr>
            <w:rFonts w:ascii="宋体" w:hAnsi="宋体" w:eastAsia="宋体"/>
            <w:sz w:val="28"/>
            <w:szCs w:val="28"/>
            <w:lang w:val="zh-CN"/>
          </w:rPr>
          <w:fldChar w:fldCharType="end"/>
        </w:r>
        <w:r>
          <w:rPr>
            <w:rFonts w:hint="eastAsia" w:ascii="宋体" w:hAnsi="宋体" w:eastAsia="宋体"/>
            <w:sz w:val="28"/>
            <w:szCs w:val="28"/>
            <w:lang w:val="zh-CN"/>
          </w:rPr>
          <w:t>—</w:t>
        </w:r>
      </w:p>
    </w:sdtContent>
  </w:sdt>
  <w:p>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420"/>
      <w:rPr>
        <w:lang w:val="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lang w:val="zh-CN"/>
      </w:rPr>
      <w:fldChar w:fldCharType="end"/>
    </w:r>
    <w:r>
      <w:rPr>
        <w:rFonts w:hint="eastAsia" w:ascii="宋体" w:hAnsi="宋体" w:eastAsia="宋体"/>
        <w:sz w:val="28"/>
        <w:szCs w:val="28"/>
        <w:lang w:val="zh-CN"/>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677B53"/>
    <w:multiLevelType w:val="singleLevel"/>
    <w:tmpl w:val="F2677B53"/>
    <w:lvl w:ilvl="0" w:tentative="0">
      <w:start w:val="1"/>
      <w:numFmt w:val="chineseCounting"/>
      <w:suff w:val="nothing"/>
      <w:lvlText w:val="%1、"/>
      <w:lvlJc w:val="left"/>
      <w:rPr>
        <w:rFonts w:hint="eastAsia"/>
      </w:rPr>
    </w:lvl>
  </w:abstractNum>
  <w:abstractNum w:abstractNumId="1">
    <w:nsid w:val="02E65B1A"/>
    <w:multiLevelType w:val="singleLevel"/>
    <w:tmpl w:val="02E65B1A"/>
    <w:lvl w:ilvl="0" w:tentative="0">
      <w:start w:val="1"/>
      <w:numFmt w:val="bullet"/>
      <w:pStyle w:val="13"/>
      <w:lvlText w:val=""/>
      <w:lvlJc w:val="left"/>
      <w:pPr>
        <w:tabs>
          <w:tab w:val="left" w:pos="2040"/>
        </w:tabs>
        <w:ind w:left="2040" w:hanging="360"/>
      </w:pPr>
      <w:rPr>
        <w:rFonts w:hint="default" w:ascii="Wingdings" w:hAnsi="Wingdings"/>
      </w:rPr>
    </w:lvl>
  </w:abstractNum>
  <w:abstractNum w:abstractNumId="2">
    <w:nsid w:val="38AFCEC3"/>
    <w:multiLevelType w:val="singleLevel"/>
    <w:tmpl w:val="38AFCEC3"/>
    <w:lvl w:ilvl="0" w:tentative="0">
      <w:start w:val="1"/>
      <w:numFmt w:val="bullet"/>
      <w:pStyle w:val="16"/>
      <w:lvlText w:val=""/>
      <w:lvlJc w:val="left"/>
      <w:pPr>
        <w:tabs>
          <w:tab w:val="left" w:pos="780"/>
        </w:tabs>
        <w:ind w:left="780" w:hanging="360"/>
      </w:pPr>
      <w:rPr>
        <w:rFonts w:hint="default" w:ascii="Wingdings" w:hAnsi="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HorizontalSpacing w:val="99"/>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zODU1OThjMjEyMWViNWY2MWE2NmZiNGIwYzNmNjMifQ=="/>
  </w:docVars>
  <w:rsids>
    <w:rsidRoot w:val="007018B2"/>
    <w:rsid w:val="0000337B"/>
    <w:rsid w:val="0000696D"/>
    <w:rsid w:val="0001071F"/>
    <w:rsid w:val="000168BD"/>
    <w:rsid w:val="00017675"/>
    <w:rsid w:val="00017B2A"/>
    <w:rsid w:val="0002168C"/>
    <w:rsid w:val="00055B0B"/>
    <w:rsid w:val="00060A28"/>
    <w:rsid w:val="00085B99"/>
    <w:rsid w:val="00087FB3"/>
    <w:rsid w:val="000D2499"/>
    <w:rsid w:val="000E50FB"/>
    <w:rsid w:val="000E7DC4"/>
    <w:rsid w:val="00100BD6"/>
    <w:rsid w:val="0010158A"/>
    <w:rsid w:val="00101A3F"/>
    <w:rsid w:val="001026CA"/>
    <w:rsid w:val="001151B5"/>
    <w:rsid w:val="00124159"/>
    <w:rsid w:val="00142605"/>
    <w:rsid w:val="001524E5"/>
    <w:rsid w:val="001659F1"/>
    <w:rsid w:val="00174D22"/>
    <w:rsid w:val="00175F06"/>
    <w:rsid w:val="0017704E"/>
    <w:rsid w:val="00182BD7"/>
    <w:rsid w:val="001831D2"/>
    <w:rsid w:val="00183696"/>
    <w:rsid w:val="00190E6E"/>
    <w:rsid w:val="0019512E"/>
    <w:rsid w:val="001A12AE"/>
    <w:rsid w:val="001C0EC5"/>
    <w:rsid w:val="001C3DEB"/>
    <w:rsid w:val="001D7EF0"/>
    <w:rsid w:val="001E08DC"/>
    <w:rsid w:val="001E5560"/>
    <w:rsid w:val="001E7934"/>
    <w:rsid w:val="001F3DED"/>
    <w:rsid w:val="00205800"/>
    <w:rsid w:val="00213E49"/>
    <w:rsid w:val="00215BFC"/>
    <w:rsid w:val="00224B19"/>
    <w:rsid w:val="00272C69"/>
    <w:rsid w:val="00276271"/>
    <w:rsid w:val="002814C9"/>
    <w:rsid w:val="00292CC5"/>
    <w:rsid w:val="002A23A0"/>
    <w:rsid w:val="002A3D10"/>
    <w:rsid w:val="002D227E"/>
    <w:rsid w:val="002E5B2F"/>
    <w:rsid w:val="002F195B"/>
    <w:rsid w:val="002F1D9C"/>
    <w:rsid w:val="002F35F3"/>
    <w:rsid w:val="002F5F92"/>
    <w:rsid w:val="0030016F"/>
    <w:rsid w:val="0034427E"/>
    <w:rsid w:val="00357A09"/>
    <w:rsid w:val="003701B7"/>
    <w:rsid w:val="00370A2F"/>
    <w:rsid w:val="003A6683"/>
    <w:rsid w:val="003B4C70"/>
    <w:rsid w:val="003C06EA"/>
    <w:rsid w:val="003C16EE"/>
    <w:rsid w:val="003D0771"/>
    <w:rsid w:val="003E59C9"/>
    <w:rsid w:val="003F111B"/>
    <w:rsid w:val="003F7AEF"/>
    <w:rsid w:val="003F7F9C"/>
    <w:rsid w:val="0041267F"/>
    <w:rsid w:val="00430473"/>
    <w:rsid w:val="004336C1"/>
    <w:rsid w:val="00435FE2"/>
    <w:rsid w:val="0045087E"/>
    <w:rsid w:val="0046537F"/>
    <w:rsid w:val="004657AE"/>
    <w:rsid w:val="004820A6"/>
    <w:rsid w:val="00486728"/>
    <w:rsid w:val="004B2333"/>
    <w:rsid w:val="004E0EB6"/>
    <w:rsid w:val="004E261E"/>
    <w:rsid w:val="004E5A28"/>
    <w:rsid w:val="004E63AA"/>
    <w:rsid w:val="004F7CF8"/>
    <w:rsid w:val="00500926"/>
    <w:rsid w:val="0052278E"/>
    <w:rsid w:val="00527AB5"/>
    <w:rsid w:val="00535B89"/>
    <w:rsid w:val="00542ED4"/>
    <w:rsid w:val="00543831"/>
    <w:rsid w:val="00550DEB"/>
    <w:rsid w:val="00572A61"/>
    <w:rsid w:val="0058695E"/>
    <w:rsid w:val="005B1A21"/>
    <w:rsid w:val="005B4AC4"/>
    <w:rsid w:val="005C7456"/>
    <w:rsid w:val="005E025A"/>
    <w:rsid w:val="005E22DB"/>
    <w:rsid w:val="005F6233"/>
    <w:rsid w:val="006166CD"/>
    <w:rsid w:val="00626C76"/>
    <w:rsid w:val="00632162"/>
    <w:rsid w:val="006427CC"/>
    <w:rsid w:val="00642DCE"/>
    <w:rsid w:val="00644626"/>
    <w:rsid w:val="00645190"/>
    <w:rsid w:val="00650902"/>
    <w:rsid w:val="00655A5E"/>
    <w:rsid w:val="0065604D"/>
    <w:rsid w:val="00661CAB"/>
    <w:rsid w:val="006727F0"/>
    <w:rsid w:val="00683C3A"/>
    <w:rsid w:val="0069244B"/>
    <w:rsid w:val="00695F25"/>
    <w:rsid w:val="006A6999"/>
    <w:rsid w:val="006B29E5"/>
    <w:rsid w:val="006B6218"/>
    <w:rsid w:val="006C6FB1"/>
    <w:rsid w:val="006D1D38"/>
    <w:rsid w:val="006D2877"/>
    <w:rsid w:val="006E3F38"/>
    <w:rsid w:val="006F17B1"/>
    <w:rsid w:val="007018B2"/>
    <w:rsid w:val="007066C7"/>
    <w:rsid w:val="00713217"/>
    <w:rsid w:val="00713BC3"/>
    <w:rsid w:val="007261CA"/>
    <w:rsid w:val="0073126F"/>
    <w:rsid w:val="007331A3"/>
    <w:rsid w:val="00743053"/>
    <w:rsid w:val="00746DE1"/>
    <w:rsid w:val="0076178E"/>
    <w:rsid w:val="00781CDC"/>
    <w:rsid w:val="00786A70"/>
    <w:rsid w:val="007B7E9F"/>
    <w:rsid w:val="007D4616"/>
    <w:rsid w:val="007D6CE7"/>
    <w:rsid w:val="007E45E4"/>
    <w:rsid w:val="007E5CA7"/>
    <w:rsid w:val="007F2632"/>
    <w:rsid w:val="007F378E"/>
    <w:rsid w:val="00802E5F"/>
    <w:rsid w:val="00810530"/>
    <w:rsid w:val="00837F2D"/>
    <w:rsid w:val="00841BF6"/>
    <w:rsid w:val="0084408A"/>
    <w:rsid w:val="00846FE5"/>
    <w:rsid w:val="008568E1"/>
    <w:rsid w:val="00867B49"/>
    <w:rsid w:val="0087326F"/>
    <w:rsid w:val="00887EA1"/>
    <w:rsid w:val="00896E6A"/>
    <w:rsid w:val="008A0926"/>
    <w:rsid w:val="008A0E15"/>
    <w:rsid w:val="008C23A2"/>
    <w:rsid w:val="008D7B2D"/>
    <w:rsid w:val="008F7E94"/>
    <w:rsid w:val="00901A6D"/>
    <w:rsid w:val="00916D83"/>
    <w:rsid w:val="009262BF"/>
    <w:rsid w:val="00947153"/>
    <w:rsid w:val="009534A2"/>
    <w:rsid w:val="00972245"/>
    <w:rsid w:val="009742FE"/>
    <w:rsid w:val="009746AB"/>
    <w:rsid w:val="0098013A"/>
    <w:rsid w:val="009821E2"/>
    <w:rsid w:val="00982FA8"/>
    <w:rsid w:val="00994B8F"/>
    <w:rsid w:val="00996597"/>
    <w:rsid w:val="009A24DF"/>
    <w:rsid w:val="009B2ADB"/>
    <w:rsid w:val="009B2F86"/>
    <w:rsid w:val="009B3902"/>
    <w:rsid w:val="009B4374"/>
    <w:rsid w:val="009B6917"/>
    <w:rsid w:val="009C4C84"/>
    <w:rsid w:val="009C5E12"/>
    <w:rsid w:val="009D56BE"/>
    <w:rsid w:val="009D7CFF"/>
    <w:rsid w:val="009D7FF2"/>
    <w:rsid w:val="009E49BB"/>
    <w:rsid w:val="00A15D48"/>
    <w:rsid w:val="00A33522"/>
    <w:rsid w:val="00A36FB5"/>
    <w:rsid w:val="00A43F2C"/>
    <w:rsid w:val="00A442A4"/>
    <w:rsid w:val="00A53CFF"/>
    <w:rsid w:val="00A739CC"/>
    <w:rsid w:val="00A81C24"/>
    <w:rsid w:val="00A83326"/>
    <w:rsid w:val="00A92073"/>
    <w:rsid w:val="00AB04FA"/>
    <w:rsid w:val="00AB1D61"/>
    <w:rsid w:val="00AB354F"/>
    <w:rsid w:val="00AB5933"/>
    <w:rsid w:val="00AC324D"/>
    <w:rsid w:val="00AC4190"/>
    <w:rsid w:val="00AD19BF"/>
    <w:rsid w:val="00AF0F88"/>
    <w:rsid w:val="00B04C94"/>
    <w:rsid w:val="00B05C00"/>
    <w:rsid w:val="00B23175"/>
    <w:rsid w:val="00B442CC"/>
    <w:rsid w:val="00B55D70"/>
    <w:rsid w:val="00B61E39"/>
    <w:rsid w:val="00B74259"/>
    <w:rsid w:val="00B77256"/>
    <w:rsid w:val="00B87148"/>
    <w:rsid w:val="00BB1F61"/>
    <w:rsid w:val="00BC3597"/>
    <w:rsid w:val="00C04C05"/>
    <w:rsid w:val="00C21661"/>
    <w:rsid w:val="00C22186"/>
    <w:rsid w:val="00C22670"/>
    <w:rsid w:val="00C228EB"/>
    <w:rsid w:val="00C30697"/>
    <w:rsid w:val="00C31C70"/>
    <w:rsid w:val="00C406C7"/>
    <w:rsid w:val="00C473CB"/>
    <w:rsid w:val="00C5479F"/>
    <w:rsid w:val="00C56E7F"/>
    <w:rsid w:val="00C61832"/>
    <w:rsid w:val="00C72CB8"/>
    <w:rsid w:val="00C87475"/>
    <w:rsid w:val="00C94475"/>
    <w:rsid w:val="00C95DC1"/>
    <w:rsid w:val="00CA3374"/>
    <w:rsid w:val="00CA4A02"/>
    <w:rsid w:val="00CA5768"/>
    <w:rsid w:val="00CB5B09"/>
    <w:rsid w:val="00CC377D"/>
    <w:rsid w:val="00CC5E43"/>
    <w:rsid w:val="00CE5F98"/>
    <w:rsid w:val="00CF4F2E"/>
    <w:rsid w:val="00D035BE"/>
    <w:rsid w:val="00D03F64"/>
    <w:rsid w:val="00D0748B"/>
    <w:rsid w:val="00D10BC6"/>
    <w:rsid w:val="00D20522"/>
    <w:rsid w:val="00D24F59"/>
    <w:rsid w:val="00D456CB"/>
    <w:rsid w:val="00D5113E"/>
    <w:rsid w:val="00D570E5"/>
    <w:rsid w:val="00D62FB9"/>
    <w:rsid w:val="00D64321"/>
    <w:rsid w:val="00D763A6"/>
    <w:rsid w:val="00D81BA9"/>
    <w:rsid w:val="00D844DE"/>
    <w:rsid w:val="00D852BF"/>
    <w:rsid w:val="00DC17C7"/>
    <w:rsid w:val="00DC40F4"/>
    <w:rsid w:val="00DD1B6E"/>
    <w:rsid w:val="00DD3D0A"/>
    <w:rsid w:val="00DD4152"/>
    <w:rsid w:val="00DD5CD2"/>
    <w:rsid w:val="00E05EB2"/>
    <w:rsid w:val="00E14600"/>
    <w:rsid w:val="00E16F27"/>
    <w:rsid w:val="00E31768"/>
    <w:rsid w:val="00E544B6"/>
    <w:rsid w:val="00E55542"/>
    <w:rsid w:val="00E57768"/>
    <w:rsid w:val="00E57B95"/>
    <w:rsid w:val="00E6218D"/>
    <w:rsid w:val="00E6250B"/>
    <w:rsid w:val="00E63897"/>
    <w:rsid w:val="00E72049"/>
    <w:rsid w:val="00E76311"/>
    <w:rsid w:val="00E85229"/>
    <w:rsid w:val="00E86023"/>
    <w:rsid w:val="00E900F1"/>
    <w:rsid w:val="00E9214F"/>
    <w:rsid w:val="00F04DE7"/>
    <w:rsid w:val="00F20573"/>
    <w:rsid w:val="00F24981"/>
    <w:rsid w:val="00F3196E"/>
    <w:rsid w:val="00F45C3B"/>
    <w:rsid w:val="00F471E9"/>
    <w:rsid w:val="00F5351C"/>
    <w:rsid w:val="00F6009A"/>
    <w:rsid w:val="00F635FD"/>
    <w:rsid w:val="00F73834"/>
    <w:rsid w:val="00F86A61"/>
    <w:rsid w:val="00F948B6"/>
    <w:rsid w:val="00FA26D0"/>
    <w:rsid w:val="00FB1999"/>
    <w:rsid w:val="00FB2A77"/>
    <w:rsid w:val="00FB3423"/>
    <w:rsid w:val="00FB4D22"/>
    <w:rsid w:val="00FC34ED"/>
    <w:rsid w:val="00FC3571"/>
    <w:rsid w:val="00FC54D0"/>
    <w:rsid w:val="00FD2FB5"/>
    <w:rsid w:val="00FD67D9"/>
    <w:rsid w:val="00FE33BB"/>
    <w:rsid w:val="00FE7807"/>
    <w:rsid w:val="00FF1E29"/>
    <w:rsid w:val="08FC797C"/>
    <w:rsid w:val="0DD93A8D"/>
    <w:rsid w:val="10390BE8"/>
    <w:rsid w:val="115B6D04"/>
    <w:rsid w:val="131D0B7D"/>
    <w:rsid w:val="152A52A8"/>
    <w:rsid w:val="1BB12C0A"/>
    <w:rsid w:val="1D9F4047"/>
    <w:rsid w:val="2073362B"/>
    <w:rsid w:val="207B66B3"/>
    <w:rsid w:val="21C2063F"/>
    <w:rsid w:val="22C73E50"/>
    <w:rsid w:val="26B10B3C"/>
    <w:rsid w:val="272B000B"/>
    <w:rsid w:val="2732279D"/>
    <w:rsid w:val="2A1A3523"/>
    <w:rsid w:val="2B1C6CE5"/>
    <w:rsid w:val="2C900303"/>
    <w:rsid w:val="2DEF42D9"/>
    <w:rsid w:val="33EE7D56"/>
    <w:rsid w:val="36FF38B1"/>
    <w:rsid w:val="377823C0"/>
    <w:rsid w:val="39C96289"/>
    <w:rsid w:val="3B0F1D00"/>
    <w:rsid w:val="3CFE05B6"/>
    <w:rsid w:val="3E452E82"/>
    <w:rsid w:val="3ECC03C7"/>
    <w:rsid w:val="3F593C0C"/>
    <w:rsid w:val="42384272"/>
    <w:rsid w:val="432902D2"/>
    <w:rsid w:val="43471678"/>
    <w:rsid w:val="43C95E83"/>
    <w:rsid w:val="462F5496"/>
    <w:rsid w:val="46420E9F"/>
    <w:rsid w:val="464C2236"/>
    <w:rsid w:val="4668069A"/>
    <w:rsid w:val="48AA029F"/>
    <w:rsid w:val="4B595B0C"/>
    <w:rsid w:val="4C2F6420"/>
    <w:rsid w:val="4C377AEE"/>
    <w:rsid w:val="4C3C08E4"/>
    <w:rsid w:val="4C9E43F2"/>
    <w:rsid w:val="4CA27B6A"/>
    <w:rsid w:val="4D2C25E2"/>
    <w:rsid w:val="4E900F23"/>
    <w:rsid w:val="4EB24D70"/>
    <w:rsid w:val="4F242BD6"/>
    <w:rsid w:val="4FDD11EC"/>
    <w:rsid w:val="521B56E4"/>
    <w:rsid w:val="540D6A1F"/>
    <w:rsid w:val="5699372D"/>
    <w:rsid w:val="5F3C5659"/>
    <w:rsid w:val="601576CB"/>
    <w:rsid w:val="615B513E"/>
    <w:rsid w:val="61A23E04"/>
    <w:rsid w:val="6352125E"/>
    <w:rsid w:val="641C601F"/>
    <w:rsid w:val="64CB5CC0"/>
    <w:rsid w:val="656859A9"/>
    <w:rsid w:val="67342184"/>
    <w:rsid w:val="67393D46"/>
    <w:rsid w:val="67834372"/>
    <w:rsid w:val="6BDD0DCB"/>
    <w:rsid w:val="6C045A1E"/>
    <w:rsid w:val="6CB06CB1"/>
    <w:rsid w:val="6D54763D"/>
    <w:rsid w:val="6D612186"/>
    <w:rsid w:val="6E025B18"/>
    <w:rsid w:val="6EF451B8"/>
    <w:rsid w:val="6EF90EF2"/>
    <w:rsid w:val="7098520A"/>
    <w:rsid w:val="71E8184A"/>
    <w:rsid w:val="72633795"/>
    <w:rsid w:val="73101E81"/>
    <w:rsid w:val="738C4607"/>
    <w:rsid w:val="749B427A"/>
    <w:rsid w:val="74C12F08"/>
    <w:rsid w:val="74C71564"/>
    <w:rsid w:val="75577A24"/>
    <w:rsid w:val="75FB0851"/>
    <w:rsid w:val="7AC51161"/>
    <w:rsid w:val="7BAE713A"/>
    <w:rsid w:val="7C932892"/>
    <w:rsid w:val="7D2337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qFormat="1" w:unhideWhenUsed="0" w:uiPriority="0" w:semiHidden="0" w:name="List 3"/>
    <w:lsdException w:uiPriority="99" w:name="List 4"/>
    <w:lsdException w:uiPriority="99" w:name="List 5"/>
    <w:lsdException w:qFormat="1" w:uiPriority="99" w:name="List Bullet 2"/>
    <w:lsdException w:uiPriority="99" w:name="List Bullet 3"/>
    <w:lsdException w:uiPriority="99" w:name="List Bullet 4"/>
    <w:lsdException w:qFormat="1"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name="Plain Text"/>
    <w:lsdException w:qFormat="1" w:unhideWhenUsed="0" w:uiPriority="0" w:semiHidden="0"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qFormat/>
    <w:uiPriority w:val="0"/>
    <w:pPr>
      <w:keepNext/>
      <w:widowControl w:val="0"/>
      <w:spacing w:line="360" w:lineRule="auto"/>
      <w:jc w:val="both"/>
      <w:outlineLvl w:val="0"/>
    </w:pPr>
    <w:rPr>
      <w:rFonts w:ascii="宋体"/>
      <w:b/>
      <w:kern w:val="2"/>
      <w:sz w:val="24"/>
      <w:szCs w:val="24"/>
      <w:lang w:val="en-US" w:eastAsia="zh-CN" w:bidi="ar-SA"/>
    </w:rPr>
  </w:style>
  <w:style w:type="paragraph" w:styleId="6">
    <w:name w:val="heading 2"/>
    <w:basedOn w:val="1"/>
    <w:next w:val="1"/>
    <w:qFormat/>
    <w:uiPriority w:val="0"/>
    <w:pPr>
      <w:keepNext/>
      <w:keepLines/>
      <w:autoSpaceDE w:val="0"/>
      <w:autoSpaceDN w:val="0"/>
      <w:adjustRightInd w:val="0"/>
      <w:snapToGrid w:val="0"/>
      <w:spacing w:before="120" w:after="120"/>
      <w:outlineLvl w:val="1"/>
    </w:pPr>
    <w:rPr>
      <w:rFonts w:ascii="宋体" w:hAnsi="Arial" w:eastAsia="楷体_GB2312"/>
      <w:b/>
      <w:kern w:val="24"/>
      <w:sz w:val="24"/>
      <w:szCs w:val="21"/>
    </w:rPr>
  </w:style>
  <w:style w:type="paragraph" w:styleId="7">
    <w:name w:val="heading 3"/>
    <w:basedOn w:val="1"/>
    <w:next w:val="1"/>
    <w:qFormat/>
    <w:uiPriority w:val="0"/>
    <w:pPr>
      <w:keepNext/>
      <w:keepLines/>
      <w:snapToGrid w:val="0"/>
      <w:spacing w:before="260" w:after="260" w:line="415" w:lineRule="auto"/>
      <w:outlineLvl w:val="2"/>
    </w:pPr>
    <w:rPr>
      <w:b/>
      <w:bCs/>
      <w:sz w:val="32"/>
      <w:szCs w:val="32"/>
    </w:rPr>
  </w:style>
  <w:style w:type="paragraph" w:styleId="8">
    <w:name w:val="heading 4"/>
    <w:basedOn w:val="1"/>
    <w:next w:val="1"/>
    <w:qFormat/>
    <w:uiPriority w:val="0"/>
    <w:pPr>
      <w:keepNext/>
      <w:keepLines/>
      <w:spacing w:before="280" w:after="290" w:line="372" w:lineRule="auto"/>
      <w:outlineLvl w:val="3"/>
    </w:pPr>
    <w:rPr>
      <w:rFonts w:ascii="Arial" w:hAnsi="Arial" w:eastAsia="黑体"/>
      <w:b/>
    </w:rPr>
  </w:style>
  <w:style w:type="character" w:default="1" w:styleId="29">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3"/>
    <w:next w:val="4"/>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3">
    <w:name w:val="纯文本1"/>
    <w:basedOn w:val="1"/>
    <w:next w:val="1"/>
    <w:qFormat/>
    <w:uiPriority w:val="0"/>
    <w:pPr>
      <w:adjustRightInd w:val="0"/>
    </w:pPr>
    <w:rPr>
      <w:rFonts w:hAnsi="Courier New"/>
      <w:szCs w:val="20"/>
    </w:rPr>
  </w:style>
  <w:style w:type="paragraph" w:styleId="4">
    <w:name w:val="List 3"/>
    <w:basedOn w:val="1"/>
    <w:next w:val="1"/>
    <w:qFormat/>
    <w:uiPriority w:val="0"/>
    <w:pPr>
      <w:ind w:left="100" w:leftChars="400" w:hanging="200" w:hangingChars="200"/>
    </w:pPr>
  </w:style>
  <w:style w:type="paragraph" w:styleId="9">
    <w:name w:val="E-mail Signature"/>
    <w:basedOn w:val="1"/>
    <w:next w:val="10"/>
    <w:qFormat/>
    <w:uiPriority w:val="0"/>
    <w:pPr>
      <w:spacing w:line="460" w:lineRule="exact"/>
      <w:ind w:firstLine="200"/>
    </w:pPr>
  </w:style>
  <w:style w:type="paragraph" w:customStyle="1" w:styleId="10">
    <w:name w:val="文章"/>
    <w:basedOn w:val="11"/>
    <w:next w:val="14"/>
    <w:qFormat/>
    <w:uiPriority w:val="0"/>
    <w:pPr>
      <w:widowControl/>
      <w:ind w:firstLine="480"/>
      <w:jc w:val="center"/>
    </w:pPr>
    <w:rPr>
      <w:sz w:val="26"/>
    </w:rPr>
  </w:style>
  <w:style w:type="paragraph" w:styleId="11">
    <w:name w:val="Body Text Indent"/>
    <w:basedOn w:val="1"/>
    <w:next w:val="12"/>
    <w:qFormat/>
    <w:uiPriority w:val="0"/>
    <w:pPr>
      <w:spacing w:line="460" w:lineRule="exact"/>
      <w:ind w:firstLine="570"/>
    </w:pPr>
    <w:rPr>
      <w:sz w:val="28"/>
    </w:rPr>
  </w:style>
  <w:style w:type="paragraph" w:styleId="12">
    <w:name w:val="Body Text"/>
    <w:basedOn w:val="1"/>
    <w:next w:val="13"/>
    <w:qFormat/>
    <w:uiPriority w:val="0"/>
    <w:pPr>
      <w:spacing w:after="120"/>
    </w:pPr>
  </w:style>
  <w:style w:type="paragraph" w:styleId="13">
    <w:name w:val="List Bullet 5"/>
    <w:basedOn w:val="1"/>
    <w:semiHidden/>
    <w:unhideWhenUsed/>
    <w:qFormat/>
    <w:uiPriority w:val="99"/>
    <w:pPr>
      <w:numPr>
        <w:ilvl w:val="0"/>
        <w:numId w:val="1"/>
      </w:numPr>
    </w:pPr>
  </w:style>
  <w:style w:type="paragraph" w:styleId="14">
    <w:name w:val="List"/>
    <w:basedOn w:val="1"/>
    <w:next w:val="1"/>
    <w:qFormat/>
    <w:uiPriority w:val="0"/>
    <w:pPr>
      <w:ind w:left="200" w:hanging="200" w:hangingChars="200"/>
      <w:contextualSpacing/>
    </w:pPr>
  </w:style>
  <w:style w:type="paragraph" w:styleId="15">
    <w:name w:val="Normal Indent"/>
    <w:basedOn w:val="1"/>
    <w:next w:val="1"/>
    <w:qFormat/>
    <w:uiPriority w:val="0"/>
    <w:pPr>
      <w:keepNext w:val="0"/>
      <w:keepLines w:val="0"/>
      <w:widowControl w:val="0"/>
      <w:suppressLineNumbers w:val="0"/>
      <w:spacing w:before="0" w:beforeAutospacing="0" w:after="0" w:afterAutospacing="0"/>
      <w:ind w:left="0" w:right="0" w:firstLine="420"/>
      <w:jc w:val="both"/>
    </w:pPr>
    <w:rPr>
      <w:rFonts w:hint="eastAsia" w:ascii="等线" w:hAnsi="等线" w:eastAsia="宋体" w:cs="Times New Roman"/>
      <w:kern w:val="2"/>
      <w:sz w:val="21"/>
      <w:szCs w:val="22"/>
      <w:lang w:val="en-US" w:eastAsia="zh-CN" w:bidi="ar"/>
    </w:rPr>
  </w:style>
  <w:style w:type="paragraph" w:styleId="16">
    <w:name w:val="List Bullet 2"/>
    <w:basedOn w:val="1"/>
    <w:next w:val="17"/>
    <w:semiHidden/>
    <w:unhideWhenUsed/>
    <w:qFormat/>
    <w:uiPriority w:val="99"/>
    <w:pPr>
      <w:numPr>
        <w:ilvl w:val="0"/>
        <w:numId w:val="2"/>
      </w:numPr>
    </w:pPr>
  </w:style>
  <w:style w:type="paragraph" w:customStyle="1" w:styleId="17">
    <w:name w:val="xl70"/>
    <w:basedOn w:val="1"/>
    <w:next w:val="18"/>
    <w:qFormat/>
    <w:uiPriority w:val="0"/>
    <w:pPr>
      <w:widowControl/>
      <w:spacing w:before="280" w:after="280"/>
    </w:pPr>
    <w:rPr>
      <w:rFonts w:ascii="宋体"/>
    </w:rPr>
  </w:style>
  <w:style w:type="paragraph" w:customStyle="1" w:styleId="18">
    <w:name w:val="正文缩进1"/>
    <w:basedOn w:val="1"/>
    <w:next w:val="19"/>
    <w:qFormat/>
    <w:uiPriority w:val="0"/>
    <w:pPr>
      <w:ind w:firstLine="420"/>
    </w:pPr>
    <w:rPr>
      <w:rFonts w:ascii="宋体"/>
      <w:sz w:val="28"/>
    </w:rPr>
  </w:style>
  <w:style w:type="paragraph" w:customStyle="1" w:styleId="19">
    <w:name w:val="td1"/>
    <w:basedOn w:val="1"/>
    <w:next w:val="1"/>
    <w:qFormat/>
    <w:uiPriority w:val="0"/>
    <w:pPr>
      <w:widowControl/>
      <w:spacing w:before="280" w:after="280" w:line="300" w:lineRule="atLeast"/>
      <w:ind w:firstLine="200"/>
    </w:pPr>
    <w:rPr>
      <w:color w:val="000000"/>
      <w:sz w:val="18"/>
    </w:rPr>
  </w:style>
  <w:style w:type="paragraph" w:styleId="20">
    <w:name w:val="Plain Text"/>
    <w:basedOn w:val="1"/>
    <w:next w:val="21"/>
    <w:semiHidden/>
    <w:qFormat/>
    <w:uiPriority w:val="0"/>
    <w:rPr>
      <w:rFonts w:ascii="宋体" w:hAnsi="Courier New"/>
    </w:rPr>
  </w:style>
  <w:style w:type="paragraph" w:styleId="21">
    <w:name w:val="Normal (Web)"/>
    <w:basedOn w:val="1"/>
    <w:qFormat/>
    <w:uiPriority w:val="0"/>
    <w:pPr>
      <w:widowControl/>
      <w:spacing w:before="100" w:beforeAutospacing="1" w:after="100" w:afterAutospacing="1" w:line="360" w:lineRule="atLeast"/>
      <w:jc w:val="left"/>
    </w:pPr>
    <w:rPr>
      <w:rFonts w:ascii="宋体" w:hAnsi="宋体" w:eastAsia="宋体" w:cs="Times New Roman"/>
      <w:kern w:val="0"/>
      <w:szCs w:val="21"/>
    </w:rPr>
  </w:style>
  <w:style w:type="paragraph" w:styleId="22">
    <w:name w:val="Date"/>
    <w:basedOn w:val="1"/>
    <w:next w:val="1"/>
    <w:link w:val="44"/>
    <w:semiHidden/>
    <w:unhideWhenUsed/>
    <w:qFormat/>
    <w:uiPriority w:val="99"/>
    <w:pPr>
      <w:ind w:left="100" w:leftChars="2500"/>
    </w:pPr>
  </w:style>
  <w:style w:type="paragraph" w:styleId="23">
    <w:name w:val="Balloon Text"/>
    <w:basedOn w:val="1"/>
    <w:link w:val="42"/>
    <w:semiHidden/>
    <w:unhideWhenUsed/>
    <w:qFormat/>
    <w:uiPriority w:val="99"/>
    <w:rPr>
      <w:sz w:val="18"/>
      <w:szCs w:val="18"/>
    </w:rPr>
  </w:style>
  <w:style w:type="paragraph" w:styleId="24">
    <w:name w:val="footer"/>
    <w:basedOn w:val="1"/>
    <w:link w:val="41"/>
    <w:unhideWhenUsed/>
    <w:qFormat/>
    <w:uiPriority w:val="99"/>
    <w:pPr>
      <w:tabs>
        <w:tab w:val="center" w:pos="4153"/>
        <w:tab w:val="right" w:pos="8306"/>
      </w:tabs>
      <w:snapToGrid w:val="0"/>
      <w:jc w:val="left"/>
    </w:pPr>
    <w:rPr>
      <w:sz w:val="18"/>
      <w:szCs w:val="18"/>
    </w:rPr>
  </w:style>
  <w:style w:type="paragraph" w:styleId="25">
    <w:name w:val="header"/>
    <w:basedOn w:val="1"/>
    <w:link w:val="40"/>
    <w:unhideWhenUsed/>
    <w:qFormat/>
    <w:uiPriority w:val="99"/>
    <w:pPr>
      <w:pBdr>
        <w:bottom w:val="single" w:color="auto" w:sz="6" w:space="1"/>
      </w:pBdr>
      <w:tabs>
        <w:tab w:val="center" w:pos="4153"/>
        <w:tab w:val="right" w:pos="8306"/>
      </w:tabs>
      <w:snapToGrid w:val="0"/>
      <w:jc w:val="center"/>
    </w:pPr>
    <w:rPr>
      <w:sz w:val="18"/>
      <w:szCs w:val="18"/>
    </w:rPr>
  </w:style>
  <w:style w:type="paragraph" w:styleId="26">
    <w:name w:val="toc 2"/>
    <w:basedOn w:val="1"/>
    <w:next w:val="1"/>
    <w:qFormat/>
    <w:uiPriority w:val="0"/>
    <w:pPr>
      <w:tabs>
        <w:tab w:val="right" w:leader="dot" w:pos="9060"/>
      </w:tabs>
      <w:spacing w:line="360" w:lineRule="auto"/>
      <w:ind w:left="420" w:leftChars="200"/>
    </w:pPr>
  </w:style>
  <w:style w:type="paragraph" w:styleId="27">
    <w:name w:val="Body Text First Indent"/>
    <w:basedOn w:val="12"/>
    <w:qFormat/>
    <w:uiPriority w:val="99"/>
    <w:pPr>
      <w:ind w:firstLine="420" w:firstLineChars="100"/>
    </w:pPr>
    <w:rPr>
      <w:szCs w:val="24"/>
    </w:rPr>
  </w:style>
  <w:style w:type="paragraph" w:customStyle="1" w:styleId="30">
    <w:name w:val="样式35"/>
    <w:basedOn w:val="31"/>
    <w:next w:val="36"/>
    <w:qFormat/>
    <w:uiPriority w:val="0"/>
    <w:pPr>
      <w:tabs>
        <w:tab w:val="left" w:pos="0"/>
        <w:tab w:val="left" w:pos="360"/>
        <w:tab w:val="left" w:pos="540"/>
        <w:tab w:val="left" w:pos="567"/>
        <w:tab w:val="left" w:pos="4140"/>
      </w:tabs>
      <w:spacing w:line="312" w:lineRule="auto"/>
      <w:ind w:firstLine="567"/>
    </w:pPr>
    <w:rPr>
      <w:rFonts w:ascii="宋体"/>
      <w:sz w:val="28"/>
    </w:rPr>
  </w:style>
  <w:style w:type="paragraph" w:customStyle="1" w:styleId="31">
    <w:name w:val="样式26"/>
    <w:basedOn w:val="32"/>
    <w:qFormat/>
    <w:uiPriority w:val="0"/>
    <w:pPr>
      <w:tabs>
        <w:tab w:val="left" w:pos="0"/>
        <w:tab w:val="left" w:pos="360"/>
        <w:tab w:val="left" w:pos="540"/>
        <w:tab w:val="left" w:pos="567"/>
        <w:tab w:val="left" w:pos="4140"/>
      </w:tabs>
    </w:pPr>
  </w:style>
  <w:style w:type="paragraph" w:customStyle="1" w:styleId="32">
    <w:name w:val="样式21"/>
    <w:basedOn w:val="33"/>
    <w:qFormat/>
    <w:uiPriority w:val="0"/>
    <w:pPr>
      <w:tabs>
        <w:tab w:val="left" w:pos="360"/>
        <w:tab w:val="left" w:pos="567"/>
        <w:tab w:val="left" w:pos="4140"/>
      </w:tabs>
      <w:spacing w:beforeLines="0" w:afterLines="0"/>
      <w:ind w:hanging="992"/>
    </w:pPr>
    <w:rPr>
      <w:kern w:val="0"/>
    </w:rPr>
  </w:style>
  <w:style w:type="paragraph" w:customStyle="1" w:styleId="33">
    <w:name w:val="样式5"/>
    <w:basedOn w:val="34"/>
    <w:qFormat/>
    <w:uiPriority w:val="0"/>
    <w:pPr>
      <w:tabs>
        <w:tab w:val="left" w:pos="360"/>
        <w:tab w:val="left" w:pos="567"/>
        <w:tab w:val="left" w:pos="4140"/>
      </w:tabs>
    </w:pPr>
  </w:style>
  <w:style w:type="paragraph" w:customStyle="1" w:styleId="34">
    <w:name w:val="样式12"/>
    <w:basedOn w:val="35"/>
    <w:qFormat/>
    <w:uiPriority w:val="0"/>
    <w:pPr>
      <w:keepNext/>
      <w:keepLines/>
      <w:tabs>
        <w:tab w:val="left" w:pos="360"/>
        <w:tab w:val="left" w:pos="4140"/>
      </w:tabs>
      <w:spacing w:beforeLines="50" w:afterLines="50"/>
      <w:ind w:left="567" w:hanging="567"/>
      <w:outlineLvl w:val="1"/>
    </w:pPr>
    <w:rPr>
      <w:rFonts w:eastAsia="黑体"/>
      <w:sz w:val="28"/>
      <w:szCs w:val="28"/>
    </w:rPr>
  </w:style>
  <w:style w:type="paragraph" w:customStyle="1" w:styleId="35">
    <w:name w:val="样式 标题 3标题 3 Char标题3H3h33rd level第二层条三级标题ReHead 3 WSA头..."/>
    <w:basedOn w:val="7"/>
    <w:qFormat/>
    <w:uiPriority w:val="0"/>
    <w:pPr>
      <w:numPr>
        <w:ilvl w:val="0"/>
        <w:numId w:val="0"/>
      </w:numPr>
      <w:tabs>
        <w:tab w:val="left" w:pos="4140"/>
      </w:tabs>
      <w:spacing w:before="260" w:beforeAutospacing="0" w:after="260" w:afterAutospacing="0" w:line="416" w:lineRule="auto"/>
      <w:ind w:left="4140" w:hanging="720"/>
    </w:pPr>
    <w:rPr>
      <w:rFonts w:eastAsia="黑体"/>
      <w:color w:val="FF0000"/>
    </w:rPr>
  </w:style>
  <w:style w:type="paragraph" w:customStyle="1" w:styleId="36">
    <w:name w:val="font6"/>
    <w:basedOn w:val="1"/>
    <w:next w:val="26"/>
    <w:qFormat/>
    <w:uiPriority w:val="0"/>
    <w:pPr>
      <w:widowControl/>
      <w:spacing w:before="280" w:after="280"/>
    </w:pPr>
  </w:style>
  <w:style w:type="paragraph" w:customStyle="1" w:styleId="37">
    <w:name w:val="表 内容"/>
    <w:basedOn w:val="1"/>
    <w:qFormat/>
    <w:uiPriority w:val="0"/>
    <w:pPr>
      <w:jc w:val="center"/>
    </w:pPr>
    <w:rPr>
      <w:rFonts w:hAnsi="宋体"/>
      <w:szCs w:val="20"/>
    </w:rPr>
  </w:style>
  <w:style w:type="paragraph" w:customStyle="1" w:styleId="38">
    <w:name w:val="样式 标题 2 + 宋体"/>
    <w:basedOn w:val="39"/>
    <w:qFormat/>
    <w:uiPriority w:val="99"/>
    <w:pPr>
      <w:keepLines w:val="0"/>
      <w:numPr>
        <w:ilvl w:val="1"/>
        <w:numId w:val="0"/>
      </w:numPr>
      <w:tabs>
        <w:tab w:val="left" w:pos="567"/>
        <w:tab w:val="left" w:pos="992"/>
        <w:tab w:val="right" w:pos="8640"/>
      </w:tabs>
      <w:overflowPunct w:val="0"/>
      <w:autoSpaceDE w:val="0"/>
      <w:autoSpaceDN w:val="0"/>
      <w:adjustRightInd w:val="0"/>
      <w:snapToGrid w:val="0"/>
      <w:spacing w:before="260" w:after="260" w:afterLines="50" w:line="360" w:lineRule="auto"/>
      <w:ind w:left="992" w:right="482" w:hanging="567"/>
      <w:textAlignment w:val="baseline"/>
    </w:pPr>
    <w:rPr>
      <w:rFonts w:ascii="宋体" w:hAnsi="宋体"/>
      <w:b/>
      <w:bCs/>
      <w:kern w:val="28"/>
      <w:sz w:val="28"/>
      <w:szCs w:val="30"/>
    </w:rPr>
  </w:style>
  <w:style w:type="paragraph" w:customStyle="1" w:styleId="39">
    <w:name w:val="报告书正文 Char"/>
    <w:basedOn w:val="1"/>
    <w:qFormat/>
    <w:uiPriority w:val="0"/>
    <w:pPr>
      <w:adjustRightInd w:val="0"/>
      <w:snapToGrid w:val="0"/>
      <w:spacing w:line="400" w:lineRule="atLeast"/>
      <w:ind w:firstLine="567"/>
    </w:pPr>
    <w:rPr>
      <w:rFonts w:ascii="Times New Roman" w:hAnsi="Times New Roman"/>
      <w:sz w:val="24"/>
      <w:szCs w:val="20"/>
    </w:rPr>
  </w:style>
  <w:style w:type="character" w:customStyle="1" w:styleId="40">
    <w:name w:val="页眉 Char"/>
    <w:basedOn w:val="29"/>
    <w:link w:val="25"/>
    <w:qFormat/>
    <w:uiPriority w:val="99"/>
    <w:rPr>
      <w:sz w:val="18"/>
      <w:szCs w:val="18"/>
    </w:rPr>
  </w:style>
  <w:style w:type="character" w:customStyle="1" w:styleId="41">
    <w:name w:val="页脚 Char"/>
    <w:basedOn w:val="29"/>
    <w:link w:val="24"/>
    <w:qFormat/>
    <w:uiPriority w:val="99"/>
    <w:rPr>
      <w:sz w:val="18"/>
      <w:szCs w:val="18"/>
    </w:rPr>
  </w:style>
  <w:style w:type="character" w:customStyle="1" w:styleId="42">
    <w:name w:val="批注框文本 Char"/>
    <w:basedOn w:val="29"/>
    <w:link w:val="23"/>
    <w:semiHidden/>
    <w:qFormat/>
    <w:uiPriority w:val="99"/>
    <w:rPr>
      <w:sz w:val="18"/>
      <w:szCs w:val="18"/>
    </w:rPr>
  </w:style>
  <w:style w:type="paragraph" w:styleId="43">
    <w:name w:val="List Paragraph"/>
    <w:basedOn w:val="1"/>
    <w:qFormat/>
    <w:uiPriority w:val="34"/>
    <w:pPr>
      <w:ind w:firstLine="420" w:firstLineChars="200"/>
    </w:pPr>
  </w:style>
  <w:style w:type="character" w:customStyle="1" w:styleId="44">
    <w:name w:val="日期 Char"/>
    <w:basedOn w:val="29"/>
    <w:link w:val="22"/>
    <w:semiHidden/>
    <w:qFormat/>
    <w:uiPriority w:val="99"/>
  </w:style>
  <w:style w:type="paragraph" w:customStyle="1" w:styleId="45">
    <w:name w:val="Char Char Char Char Char Char Char Char Char Char Char Char1 Char"/>
    <w:basedOn w:val="1"/>
    <w:qFormat/>
    <w:uiPriority w:val="0"/>
    <w:pPr>
      <w:spacing w:line="360" w:lineRule="auto"/>
      <w:ind w:firstLine="200" w:firstLineChars="200"/>
    </w:pPr>
    <w:rPr>
      <w:rFonts w:ascii="Times New Roman" w:hAnsi="Times New Roman" w:eastAsia="宋体" w:cs="Times New Roman"/>
      <w:szCs w:val="24"/>
    </w:rPr>
  </w:style>
  <w:style w:type="character" w:customStyle="1" w:styleId="46">
    <w:name w:val="报告表  段 Char Char"/>
    <w:link w:val="47"/>
    <w:qFormat/>
    <w:uiPriority w:val="0"/>
    <w:rPr>
      <w:rFonts w:ascii="宋体"/>
      <w:sz w:val="24"/>
    </w:rPr>
  </w:style>
  <w:style w:type="paragraph" w:customStyle="1" w:styleId="47">
    <w:name w:val="报告表  段"/>
    <w:basedOn w:val="1"/>
    <w:link w:val="46"/>
    <w:qFormat/>
    <w:uiPriority w:val="0"/>
    <w:pPr>
      <w:adjustRightInd w:val="0"/>
      <w:spacing w:line="360" w:lineRule="auto"/>
      <w:ind w:firstLine="505"/>
      <w:textAlignment w:val="baseline"/>
    </w:pPr>
    <w:rPr>
      <w:rFonts w:ascii="宋体"/>
      <w:sz w:val="24"/>
    </w:rPr>
  </w:style>
  <w:style w:type="paragraph" w:customStyle="1" w:styleId="48">
    <w:name w:val="Char Char Char Char Char Char Char Char Char Char Char Char1 Char1"/>
    <w:basedOn w:val="1"/>
    <w:qFormat/>
    <w:uiPriority w:val="0"/>
    <w:pPr>
      <w:spacing w:line="360" w:lineRule="auto"/>
      <w:ind w:firstLine="200" w:firstLineChars="200"/>
    </w:pPr>
    <w:rPr>
      <w:rFonts w:ascii="Times New Roman" w:hAnsi="Times New Roman" w:eastAsia="宋体" w:cs="Times New Roman"/>
      <w:szCs w:val="24"/>
    </w:rPr>
  </w:style>
  <w:style w:type="character" w:customStyle="1" w:styleId="49">
    <w:name w:val="yqlink"/>
    <w:basedOn w:val="29"/>
    <w:qFormat/>
    <w:uiPriority w:val="0"/>
  </w:style>
  <w:style w:type="character" w:customStyle="1" w:styleId="50">
    <w:name w:val="@ 正文 Char"/>
    <w:link w:val="51"/>
    <w:qFormat/>
    <w:uiPriority w:val="0"/>
    <w:rPr>
      <w:rFonts w:ascii="Times New Roman" w:hAnsi="宋体"/>
      <w:sz w:val="24"/>
      <w:szCs w:val="21"/>
    </w:rPr>
  </w:style>
  <w:style w:type="paragraph" w:customStyle="1" w:styleId="51">
    <w:name w:val="@ 正文"/>
    <w:basedOn w:val="1"/>
    <w:link w:val="50"/>
    <w:qFormat/>
    <w:uiPriority w:val="0"/>
    <w:pPr>
      <w:tabs>
        <w:tab w:val="left" w:pos="1980"/>
        <w:tab w:val="left" w:pos="3825"/>
        <w:tab w:val="left" w:pos="4680"/>
      </w:tabs>
      <w:spacing w:line="480" w:lineRule="exact"/>
      <w:ind w:firstLine="200" w:firstLineChars="200"/>
    </w:pPr>
    <w:rPr>
      <w:rFonts w:ascii="Times New Roman" w:hAnsi="宋体"/>
      <w:sz w:val="24"/>
      <w:szCs w:val="21"/>
    </w:rPr>
  </w:style>
  <w:style w:type="paragraph" w:customStyle="1" w:styleId="52">
    <w:name w:val="Char1 Char Char Char Char Char1 Char"/>
    <w:basedOn w:val="1"/>
    <w:qFormat/>
    <w:uiPriority w:val="0"/>
    <w:pPr>
      <w:widowControl/>
      <w:ind w:firstLine="200" w:firstLineChars="200"/>
      <w:jc w:val="left"/>
    </w:pPr>
    <w:rPr>
      <w:rFonts w:ascii="宋体" w:hAnsi="宋体" w:eastAsia="宋体" w:cs="宋体"/>
      <w:kern w:val="0"/>
      <w:szCs w:val="24"/>
    </w:rPr>
  </w:style>
  <w:style w:type="paragraph" w:customStyle="1" w:styleId="53">
    <w:name w:val="Char1 Char Char Char Char Char1 Char1"/>
    <w:basedOn w:val="1"/>
    <w:qFormat/>
    <w:uiPriority w:val="0"/>
    <w:pPr>
      <w:widowControl/>
      <w:ind w:firstLine="200" w:firstLineChars="200"/>
      <w:jc w:val="left"/>
    </w:pPr>
    <w:rPr>
      <w:rFonts w:ascii="宋体" w:hAnsi="宋体" w:eastAsia="宋体" w:cs="宋体"/>
      <w:kern w:val="0"/>
      <w:szCs w:val="24"/>
    </w:rPr>
  </w:style>
  <w:style w:type="paragraph" w:customStyle="1" w:styleId="54">
    <w:name w:val="Char Char Char Char Char Char Char Char Char Char Char Char1 Char2"/>
    <w:basedOn w:val="1"/>
    <w:qFormat/>
    <w:uiPriority w:val="0"/>
    <w:pPr>
      <w:spacing w:line="360" w:lineRule="auto"/>
      <w:ind w:firstLine="200" w:firstLineChars="200"/>
    </w:pPr>
    <w:rPr>
      <w:rFonts w:ascii="Times New Roman" w:hAnsi="Times New Roman" w:eastAsia="宋体" w:cs="Times New Roman"/>
      <w:szCs w:val="24"/>
    </w:rPr>
  </w:style>
  <w:style w:type="character" w:customStyle="1" w:styleId="55">
    <w:name w:val="fontstyle01"/>
    <w:basedOn w:val="29"/>
    <w:qFormat/>
    <w:uiPriority w:val="0"/>
    <w:rPr>
      <w:rFonts w:hint="eastAsia" w:ascii="宋体" w:hAnsi="宋体" w:eastAsia="宋体"/>
      <w:color w:val="000000"/>
      <w:sz w:val="24"/>
      <w:szCs w:val="24"/>
    </w:rPr>
  </w:style>
  <w:style w:type="character" w:customStyle="1" w:styleId="56">
    <w:name w:val="fontstyle21"/>
    <w:basedOn w:val="29"/>
    <w:qFormat/>
    <w:uiPriority w:val="0"/>
    <w:rPr>
      <w:rFonts w:hint="default" w:ascii="Times New Roman" w:hAnsi="Times New Roman" w:cs="Times New Roman"/>
      <w:color w:val="000000"/>
      <w:sz w:val="24"/>
      <w:szCs w:val="24"/>
    </w:rPr>
  </w:style>
  <w:style w:type="paragraph" w:customStyle="1" w:styleId="57">
    <w:name w:val="Char Char Char Char Char Char Char Char Char Char Char Char1 Char3"/>
    <w:basedOn w:val="1"/>
    <w:qFormat/>
    <w:uiPriority w:val="0"/>
    <w:pPr>
      <w:spacing w:line="360" w:lineRule="auto"/>
      <w:ind w:firstLine="200" w:firstLineChars="200"/>
    </w:pPr>
    <w:rPr>
      <w:rFonts w:ascii="Times New Roman" w:hAnsi="Times New Roman" w:eastAsia="宋体" w:cs="Times New Roman"/>
      <w:szCs w:val="24"/>
    </w:rPr>
  </w:style>
  <w:style w:type="character" w:customStyle="1" w:styleId="58">
    <w:name w:val="fontstyle11"/>
    <w:basedOn w:val="29"/>
    <w:qFormat/>
    <w:uiPriority w:val="0"/>
    <w:rPr>
      <w:rFonts w:ascii="TimesNewRomanPSMT" w:hAnsi="TimesNewRomanPSMT" w:eastAsia="TimesNewRomanPSMT" w:cs="TimesNewRomanPSMT"/>
      <w:color w:val="000000"/>
      <w:sz w:val="24"/>
      <w:szCs w:val="24"/>
    </w:rPr>
  </w:style>
  <w:style w:type="character" w:customStyle="1" w:styleId="59">
    <w:name w:val="样式 楷体_GB2312 黑色"/>
    <w:basedOn w:val="29"/>
    <w:qFormat/>
    <w:uiPriority w:val="0"/>
    <w:rPr>
      <w:rFonts w:hint="eastAsia" w:ascii="楷体_GB2312" w:hAnsi="宋体" w:eastAsia="楷体_GB2312"/>
      <w:b/>
      <w:color w:val="000000"/>
      <w:sz w:val="24"/>
      <w:lang w:val="en-US" w:eastAsia="zh-CN"/>
    </w:rPr>
  </w:style>
  <w:style w:type="paragraph" w:customStyle="1" w:styleId="60">
    <w:name w:val="_Style 182"/>
    <w:basedOn w:val="1"/>
    <w:qFormat/>
    <w:uiPriority w:val="0"/>
    <w:pPr>
      <w:keepNext/>
      <w:widowControl/>
      <w:tabs>
        <w:tab w:val="left" w:pos="425"/>
      </w:tabs>
      <w:autoSpaceDE w:val="0"/>
      <w:autoSpaceDN w:val="0"/>
      <w:adjustRightInd w:val="0"/>
      <w:spacing w:before="80" w:after="80"/>
      <w:ind w:hanging="425"/>
    </w:pPr>
    <w:rPr>
      <w:rFonts w:ascii="Arial" w:hAnsi="Arial" w:cs="Arial"/>
      <w:sz w:val="20"/>
      <w:szCs w:val="20"/>
    </w:rPr>
  </w:style>
  <w:style w:type="paragraph" w:customStyle="1" w:styleId="61">
    <w:name w:val="报告正文"/>
    <w:basedOn w:val="1"/>
    <w:qFormat/>
    <w:uiPriority w:val="0"/>
    <w:pPr>
      <w:ind w:firstLine="20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1589</Words>
  <Characters>1751</Characters>
  <Lines>8</Lines>
  <Paragraphs>2</Paragraphs>
  <TotalTime>1</TotalTime>
  <ScaleCrop>false</ScaleCrop>
  <LinksUpToDate>false</LinksUpToDate>
  <CharactersWithSpaces>1773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2020-11-26T03:19:00Z</dcterms:created>
  <dc:creator>张艳</dc:creator>
  <cp:lastModifiedBy>微信用户</cp:lastModifiedBy>
  <cp:lastPrinted>2023-02-24T08:06:00Z</cp:lastPrinted>
  <dcterms:modified xsi:type="dcterms:W3CDTF">2023-06-28T02:40:17Z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49656B3649894D568D7C122620F65087_13</vt:lpwstr>
  </property>
</Properties>
</file>