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44"/>
          <w:szCs w:val="44"/>
          <w:lang w:eastAsia="zh-CN"/>
        </w:rPr>
      </w:pPr>
    </w:p>
    <w:p>
      <w:pPr>
        <w:tabs>
          <w:tab w:val="left" w:pos="7530"/>
        </w:tabs>
        <w:jc w:val="left"/>
        <w:rPr>
          <w:rFonts w:hint="eastAsia" w:asciiTheme="minorEastAsia" w:hAnsiTheme="minorEastAsia" w:eastAsiaTheme="minorEastAsia"/>
          <w:sz w:val="44"/>
          <w:szCs w:val="44"/>
          <w:lang w:eastAsia="zh-CN"/>
        </w:rPr>
      </w:pPr>
      <w:r>
        <w:rPr>
          <w:rFonts w:hint="eastAsia" w:asciiTheme="minorEastAsia" w:hAnsiTheme="minorEastAsia"/>
          <w:sz w:val="44"/>
          <w:szCs w:val="44"/>
          <w:lang w:eastAsia="zh-CN"/>
        </w:rPr>
        <w:tab/>
      </w:r>
    </w:p>
    <w:p>
      <w:pPr>
        <w:rPr>
          <w:rFonts w:asciiTheme="minorEastAsia" w:hAnsiTheme="minorEastAsia"/>
          <w:sz w:val="44"/>
          <w:szCs w:val="44"/>
        </w:rPr>
      </w:pPr>
    </w:p>
    <w:p>
      <w:pPr>
        <w:pStyle w:val="48"/>
        <w:tabs>
          <w:tab w:val="left" w:pos="6379"/>
        </w:tabs>
        <w:spacing w:line="560" w:lineRule="exact"/>
        <w:ind w:firstLine="0"/>
        <w:jc w:val="right"/>
        <w:rPr>
          <w:rFonts w:ascii="仿宋" w:hAnsi="仿宋" w:eastAsia="仿宋"/>
          <w:sz w:val="32"/>
          <w:szCs w:val="32"/>
        </w:rPr>
      </w:pPr>
      <w:r>
        <w:rPr>
          <w:rFonts w:hint="eastAsia" w:ascii="仿宋_GB2312" w:hAnsi="仿宋_GB2312" w:eastAsia="仿宋_GB2312"/>
          <w:sz w:val="32"/>
        </w:rPr>
        <w:t>云环（郁南）审〔202</w:t>
      </w:r>
      <w:r>
        <w:rPr>
          <w:rFonts w:hint="eastAsia" w:ascii="仿宋_GB2312" w:hAnsi="仿宋_GB2312" w:eastAsia="仿宋_GB2312"/>
          <w:sz w:val="32"/>
          <w:lang w:val="en-US" w:eastAsia="zh-CN"/>
        </w:rPr>
        <w:t>3</w:t>
      </w:r>
      <w:r>
        <w:rPr>
          <w:rFonts w:hint="eastAsia" w:ascii="仿宋_GB2312" w:hAnsi="仿宋_GB2312" w:eastAsia="仿宋_GB2312"/>
          <w:sz w:val="32"/>
        </w:rPr>
        <w:t>〕</w:t>
      </w:r>
      <w:r>
        <w:rPr>
          <w:rFonts w:hint="eastAsia" w:ascii="仿宋_GB2312" w:hAnsi="仿宋_GB2312" w:eastAsia="仿宋_GB2312"/>
          <w:sz w:val="32"/>
          <w:lang w:val="en-US" w:eastAsia="zh-CN"/>
        </w:rPr>
        <w:t>15</w:t>
      </w:r>
      <w:r>
        <w:rPr>
          <w:rFonts w:hint="eastAsia" w:ascii="仿宋_GB2312" w:hAnsi="仿宋_GB2312" w:eastAsia="仿宋_GB2312"/>
          <w:sz w:val="32"/>
        </w:rPr>
        <w:t>号</w:t>
      </w:r>
    </w:p>
    <w:p>
      <w:pPr>
        <w:rPr>
          <w:rFonts w:asciiTheme="minorEastAsia" w:hAnsiTheme="minorEastAsia"/>
          <w:sz w:val="44"/>
          <w:szCs w:val="44"/>
        </w:rPr>
      </w:pPr>
    </w:p>
    <w:p>
      <w:pPr>
        <w:pStyle w:val="48"/>
        <w:tabs>
          <w:tab w:val="left" w:pos="6379"/>
        </w:tabs>
        <w:spacing w:line="560" w:lineRule="exact"/>
        <w:ind w:firstLine="0"/>
        <w:jc w:val="center"/>
        <w:rPr>
          <w:rFonts w:hint="eastAsia" w:ascii="方正小标宋简体" w:eastAsia="方正小标宋简体"/>
          <w:sz w:val="44"/>
          <w:szCs w:val="44"/>
        </w:rPr>
      </w:pPr>
      <w:r>
        <w:rPr>
          <w:rFonts w:hint="eastAsia" w:ascii="方正小标宋简体" w:eastAsia="方正小标宋简体"/>
          <w:sz w:val="44"/>
          <w:szCs w:val="44"/>
        </w:rPr>
        <w:t>关于广东百宏裕能新材料科技有限公司10万吨/年NMP再生液工程项目</w:t>
      </w:r>
    </w:p>
    <w:p>
      <w:pPr>
        <w:pStyle w:val="48"/>
        <w:tabs>
          <w:tab w:val="left" w:pos="6379"/>
        </w:tabs>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环境影响报告</w:t>
      </w:r>
      <w:r>
        <w:rPr>
          <w:rFonts w:hint="eastAsia" w:ascii="方正小标宋简体" w:eastAsia="方正小标宋简体"/>
          <w:sz w:val="44"/>
          <w:szCs w:val="44"/>
          <w:lang w:eastAsia="zh-CN"/>
        </w:rPr>
        <w:t>表</w:t>
      </w:r>
      <w:r>
        <w:rPr>
          <w:rFonts w:hint="eastAsia" w:ascii="方正小标宋简体" w:eastAsia="方正小标宋简体"/>
          <w:sz w:val="44"/>
          <w:szCs w:val="44"/>
        </w:rPr>
        <w:t>的批复</w:t>
      </w:r>
    </w:p>
    <w:p>
      <w:pPr>
        <w:pStyle w:val="48"/>
        <w:tabs>
          <w:tab w:val="left" w:pos="6379"/>
        </w:tabs>
        <w:spacing w:line="560" w:lineRule="exact"/>
        <w:ind w:firstLine="0"/>
        <w:jc w:val="center"/>
        <w:rPr>
          <w:rFonts w:asciiTheme="minorEastAsia" w:hAnsiTheme="minorEastAsia"/>
          <w:b/>
          <w:sz w:val="36"/>
          <w:szCs w:val="36"/>
        </w:rPr>
      </w:pPr>
    </w:p>
    <w:p>
      <w:pPr>
        <w:pStyle w:val="48"/>
        <w:tabs>
          <w:tab w:val="left" w:pos="6379"/>
        </w:tabs>
        <w:spacing w:line="560" w:lineRule="exact"/>
        <w:ind w:firstLine="0"/>
        <w:jc w:val="left"/>
        <w:rPr>
          <w:rFonts w:ascii="仿宋_GB2312" w:hAnsi="宋体" w:eastAsia="仿宋_GB2312" w:cs="仿宋_GB2312"/>
          <w:sz w:val="32"/>
          <w:szCs w:val="32"/>
        </w:rPr>
      </w:pPr>
      <w:r>
        <w:rPr>
          <w:rFonts w:hint="eastAsia" w:ascii="仿宋_GB2312" w:hAnsi="宋体" w:eastAsia="仿宋_GB2312" w:cs="仿宋_GB2312"/>
          <w:sz w:val="32"/>
          <w:szCs w:val="32"/>
          <w:lang w:eastAsia="zh-CN"/>
        </w:rPr>
        <w:t>广东百宏裕能新材料科技有限公司（统一社会信用代码：91445322MACAYU0B5M）：</w:t>
      </w:r>
    </w:p>
    <w:p>
      <w:pPr>
        <w:pStyle w:val="48"/>
        <w:tabs>
          <w:tab w:val="left" w:pos="6379"/>
        </w:tabs>
        <w:spacing w:line="560" w:lineRule="exact"/>
        <w:ind w:firstLine="618"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你</w:t>
      </w:r>
      <w:r>
        <w:rPr>
          <w:rFonts w:hint="eastAsia" w:ascii="仿宋_GB2312" w:hAnsi="宋体" w:eastAsia="仿宋_GB2312" w:cs="仿宋_GB2312"/>
          <w:sz w:val="32"/>
          <w:szCs w:val="32"/>
          <w:lang w:eastAsia="zh-CN"/>
        </w:rPr>
        <w:t>公司</w:t>
      </w:r>
      <w:r>
        <w:rPr>
          <w:rFonts w:hint="eastAsia" w:ascii="仿宋_GB2312" w:hAnsi="宋体" w:eastAsia="仿宋_GB2312" w:cs="仿宋_GB2312"/>
          <w:sz w:val="32"/>
          <w:szCs w:val="32"/>
        </w:rPr>
        <w:t>报送的《广东百宏裕能新材料科技有限公司10万吨/年NMP再生液工程项目环境影响报告表》（以下简称</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）等相关材料收悉。经研究,批复如下:</w:t>
      </w:r>
    </w:p>
    <w:p>
      <w:pPr>
        <w:pStyle w:val="48"/>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rPr>
        <w:t>广东百宏裕能新材料科技有限公司10万吨/年NMP再生液工程项目</w:t>
      </w:r>
      <w:r>
        <w:rPr>
          <w:rFonts w:hint="eastAsia" w:ascii="仿宋_GB2312" w:hAnsi="宋体" w:eastAsia="仿宋_GB2312" w:cs="仿宋_GB2312"/>
          <w:sz w:val="32"/>
          <w:szCs w:val="32"/>
          <w:lang w:eastAsia="zh-CN"/>
        </w:rPr>
        <w:t>（项目代码2304-445322-04-01-118559）</w:t>
      </w:r>
      <w:r>
        <w:rPr>
          <w:rFonts w:hint="eastAsia" w:ascii="仿宋_GB2312" w:hAnsi="宋体" w:eastAsia="仿宋_GB2312" w:cs="仿宋_GB2312"/>
          <w:sz w:val="32"/>
          <w:szCs w:val="32"/>
        </w:rPr>
        <w:t>位于广东省云浮市郁南县大湾镇产业转移工业园（大湾片区）工业园区内园区三路旁</w:t>
      </w:r>
      <w:r>
        <w:rPr>
          <w:rFonts w:hint="eastAsia" w:ascii="仿宋_GB2312" w:hAnsi="宋体" w:eastAsia="仿宋_GB2312" w:cs="仿宋_GB2312"/>
          <w:sz w:val="32"/>
          <w:szCs w:val="32"/>
          <w:lang w:eastAsia="zh-CN"/>
        </w:rPr>
        <w:t>（地理中心坐标为:E111°37'11.988"，N22°50'28.792"，坐标定位来自于91位图助手）</w:t>
      </w:r>
      <w:r>
        <w:rPr>
          <w:rFonts w:hint="eastAsia" w:ascii="仿宋_GB2312" w:hAnsi="宋体" w:eastAsia="仿宋_GB2312" w:cs="仿宋_GB2312"/>
          <w:sz w:val="32"/>
          <w:szCs w:val="32"/>
        </w:rPr>
        <w:t>，主要从事NMP回收液的精制、拟建项目平均年处理提纯125544.27吨NMP回收液，可精制NMP再生液约10万吨/年。项目总占地面积66689.7</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，总建筑面积10680.29</w:t>
      </w:r>
      <w:r>
        <w:rPr>
          <w:rFonts w:hint="eastAsia" w:ascii="仿宋_GB2312" w:hAnsi="宋体" w:eastAsia="仿宋_GB2312" w:cs="仿宋_GB2312"/>
          <w:sz w:val="32"/>
          <w:szCs w:val="32"/>
          <w:lang w:eastAsia="zh-CN"/>
        </w:rPr>
        <w:t>平方米</w:t>
      </w:r>
      <w:r>
        <w:rPr>
          <w:rFonts w:hint="eastAsia" w:ascii="仿宋_GB2312" w:hAnsi="宋体" w:eastAsia="仿宋_GB2312" w:cs="仿宋_GB2312"/>
          <w:sz w:val="32"/>
          <w:szCs w:val="32"/>
        </w:rPr>
        <w:t>。</w:t>
      </w:r>
    </w:p>
    <w:p>
      <w:pPr>
        <w:pStyle w:val="48"/>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ascii="仿宋_GB2312" w:hAnsi="宋体" w:eastAsia="仿宋_GB2312" w:cs="仿宋_GB2312"/>
          <w:sz w:val="32"/>
          <w:szCs w:val="32"/>
        </w:rPr>
      </w:pPr>
      <w:r>
        <w:rPr>
          <w:rFonts w:hint="eastAsia" w:ascii="仿宋_GB2312" w:hAnsi="宋体" w:eastAsia="仿宋_GB2312" w:cs="仿宋_GB2312"/>
          <w:sz w:val="32"/>
          <w:szCs w:val="32"/>
          <w:lang w:eastAsia="zh-CN"/>
        </w:rPr>
        <w:t>根据《报告表》的评价结论、广东粤环生态环境有限公司的技术评估意见，在全面落实《报告表》提出的各项污染防治和环境风险防范措施，并确保各类污染物稳定达标排放且符合总量控制要求的前提下，项目按照《报告表》中所列性质、规模、地点、采用的污染防治、防止生态破坏的措施进行建设，从生态环境保护角度可行。</w:t>
      </w:r>
      <w:r>
        <w:rPr>
          <w:rFonts w:hint="eastAsia" w:ascii="仿宋_GB2312" w:hAnsi="宋体" w:eastAsia="仿宋_GB2312" w:cs="仿宋_GB2312"/>
          <w:sz w:val="32"/>
          <w:szCs w:val="32"/>
        </w:rPr>
        <w:t>我局召开</w:t>
      </w:r>
      <w:r>
        <w:rPr>
          <w:rFonts w:hint="eastAsia" w:ascii="仿宋_GB2312" w:hAnsi="宋体" w:eastAsia="仿宋_GB2312" w:cs="仿宋_GB2312"/>
          <w:sz w:val="32"/>
          <w:szCs w:val="32"/>
          <w:lang w:eastAsia="zh-CN"/>
        </w:rPr>
        <w:t>建设</w:t>
      </w:r>
      <w:r>
        <w:rPr>
          <w:rFonts w:hint="eastAsia" w:ascii="仿宋_GB2312" w:hAnsi="宋体" w:eastAsia="仿宋_GB2312" w:cs="仿宋_GB2312"/>
          <w:sz w:val="32"/>
          <w:szCs w:val="32"/>
        </w:rPr>
        <w:t>项目环境影响评价审查会议审议</w:t>
      </w:r>
      <w:r>
        <w:rPr>
          <w:rFonts w:hint="eastAsia" w:ascii="仿宋_GB2312" w:hAnsi="宋体" w:eastAsia="仿宋_GB2312" w:cs="仿宋_GB2312"/>
          <w:sz w:val="32"/>
          <w:szCs w:val="32"/>
          <w:lang w:eastAsia="zh-CN"/>
        </w:rPr>
        <w:t>，原则</w:t>
      </w:r>
      <w:r>
        <w:rPr>
          <w:rFonts w:hint="eastAsia" w:ascii="仿宋_GB2312" w:hAnsi="宋体" w:eastAsia="仿宋_GB2312" w:cs="仿宋_GB2312"/>
          <w:sz w:val="32"/>
          <w:szCs w:val="32"/>
        </w:rPr>
        <w:t>通过了该</w:t>
      </w:r>
      <w:r>
        <w:rPr>
          <w:rFonts w:hint="eastAsia" w:ascii="仿宋_GB2312" w:hAnsi="宋体" w:eastAsia="仿宋_GB2312" w:cs="仿宋_GB2312"/>
          <w:sz w:val="32"/>
          <w:szCs w:val="32"/>
          <w:lang w:eastAsia="zh-CN"/>
        </w:rPr>
        <w:t>项目报批的《报告表》</w:t>
      </w:r>
      <w:r>
        <w:rPr>
          <w:rFonts w:hint="eastAsia" w:ascii="仿宋_GB2312" w:hAnsi="宋体" w:eastAsia="仿宋_GB2312" w:cs="仿宋_GB2312"/>
          <w:sz w:val="32"/>
          <w:szCs w:val="32"/>
        </w:rPr>
        <w:t>，你单位应按照</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报告</w:t>
      </w:r>
      <w:r>
        <w:rPr>
          <w:rFonts w:hint="eastAsia" w:ascii="仿宋_GB2312" w:hAnsi="宋体" w:eastAsia="仿宋_GB2312" w:cs="仿宋_GB2312"/>
          <w:sz w:val="32"/>
          <w:szCs w:val="32"/>
          <w:lang w:eastAsia="zh-CN"/>
        </w:rPr>
        <w:t>表》</w:t>
      </w:r>
      <w:r>
        <w:rPr>
          <w:rFonts w:hint="eastAsia" w:ascii="仿宋_GB2312" w:hAnsi="宋体" w:eastAsia="仿宋_GB2312" w:cs="仿宋_GB2312"/>
          <w:sz w:val="32"/>
          <w:szCs w:val="32"/>
        </w:rPr>
        <w:t>内容组织实施。</w:t>
      </w:r>
    </w:p>
    <w:p>
      <w:pPr>
        <w:pStyle w:val="48"/>
        <w:keepNext w:val="0"/>
        <w:keepLines w:val="0"/>
        <w:pageBreakBefore w:val="0"/>
        <w:widowControl w:val="0"/>
        <w:numPr>
          <w:ilvl w:val="0"/>
          <w:numId w:val="3"/>
        </w:numPr>
        <w:tabs>
          <w:tab w:val="left" w:pos="6379"/>
        </w:tabs>
        <w:kinsoku/>
        <w:wordWrap/>
        <w:overflowPunct/>
        <w:topLinePunct w:val="0"/>
        <w:autoSpaceDE/>
        <w:autoSpaceDN/>
        <w:bidi w:val="0"/>
        <w:adjustRightInd w:val="0"/>
        <w:snapToGrid/>
        <w:spacing w:line="560" w:lineRule="exact"/>
        <w:ind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项目建设和运营中还应重点做好以下工作：</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大气污染防治措施。项目各工序产生的废气应进行有效收集处理。工艺废气中的非甲烷总烃（NMHC）、污水处理站产生的恶臭气体（硫化氢、氨、臭气浓度）执行广东省《固定污染源挥发性有机物综合排放标准》（DB44/2367-2022）表1挥发性有机物排放限值、《恶臭污染物排放标准》（GB14554-93）表2 恶臭污染物排放标准值。油烟排放执行《饮食业油烟排放标准（试行）》（GB18483-2001）污染物排放限值中的中型标准。</w:t>
      </w:r>
    </w:p>
    <w:p>
      <w:pPr>
        <w:pStyle w:val="48"/>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无组织排放废气中，</w:t>
      </w:r>
      <w:r>
        <w:rPr>
          <w:rFonts w:hint="eastAsia" w:ascii="仿宋_GB2312" w:hAnsi="宋体" w:eastAsia="仿宋_GB2312" w:cs="仿宋_GB2312"/>
          <w:sz w:val="32"/>
          <w:szCs w:val="32"/>
          <w:lang w:val="en-US" w:eastAsia="zh-CN"/>
        </w:rPr>
        <w:t>执行广东省《大气污染物排放限值》（DB44/27-2001）无组织排放限值要求</w:t>
      </w:r>
      <w:r>
        <w:rPr>
          <w:rFonts w:hint="eastAsia" w:ascii="仿宋_GB2312" w:hAnsi="宋体" w:eastAsia="仿宋_GB2312" w:cs="仿宋_GB2312"/>
          <w:sz w:val="32"/>
          <w:szCs w:val="32"/>
          <w:lang w:eastAsia="zh-CN"/>
        </w:rPr>
        <w:t>、《恶臭污染物排放标准》（GB14554-93）表1恶臭污染物厂界标准限值的“二级-新改扩建”标准限值。</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严格落实全厂水污染防治措施。</w:t>
      </w:r>
    </w:p>
    <w:p>
      <w:pPr>
        <w:pStyle w:val="48"/>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生活污水经预处理后，与工艺废水、喷淋塔废水、地面清洗废水、包装桶清洗废水、槽车清洗冷凝废水、初期雨水、实验废水</w:t>
      </w:r>
      <w:r>
        <w:rPr>
          <w:rFonts w:hint="eastAsia" w:ascii="仿宋_GB2312" w:hAnsi="宋体" w:eastAsia="仿宋_GB2312" w:cs="仿宋_GB2312"/>
          <w:sz w:val="32"/>
          <w:szCs w:val="32"/>
          <w:lang w:val="en-US" w:eastAsia="zh-CN"/>
        </w:rPr>
        <w:t>汇入自建污水处理站处理，</w:t>
      </w:r>
      <w:r>
        <w:rPr>
          <w:rFonts w:hint="eastAsia" w:ascii="仿宋_GB2312" w:hAnsi="宋体" w:eastAsia="仿宋_GB2312" w:cs="仿宋_GB2312"/>
          <w:sz w:val="32"/>
          <w:szCs w:val="32"/>
          <w:lang w:eastAsia="zh-CN"/>
        </w:rPr>
        <w:t>达到广东省《水污染物排放限值》(DB44/26-2001)第二时段三级标准和郁南县大湾镇污水处理厂设计进水标准较严者后，通过市政污水管网引入郁南县大湾镇污水处理厂处理。</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严格落实噪声污染防治措施。选用低噪音设备，并采取有效的隔声、降噪等措施，确保厂界噪声符合《工业企业厂界环境噪声排放标准》（GB 12348-2008）环境噪声排放限值。</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严格落实固体废物分类处理处置要求。按“减量化、资源化、无害化”原则，落实各类固体废物的收集、处置和综合利用措施。项目运营期间产生的一般工业固体废物依法依规处置；生活垃圾经统一收集后交由环卫部门处理；精馏釜残、废包装桶、废活性炭、废机油等危险废物委托有资质单位处置。</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完善并严格落实环境风险防范措施和应急预案，建立健全环境风险事故防范应急体系。加强污染防治设施的管理和维护，配备足够容积的事故应急池，切实防范环境污染事故发生。</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项目应按国家和省的有关规定规范设置各类排污口，并定期开展环境监测。</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加强施工期环境管理，防止工程施工造成环境污染或生态破坏。合理安排施工时间，施工噪声执行《建筑施工场界环境噪声排放标准》（GB 12523-2011）。</w:t>
      </w:r>
    </w:p>
    <w:p>
      <w:pPr>
        <w:pStyle w:val="48"/>
        <w:keepNext w:val="0"/>
        <w:keepLines w:val="0"/>
        <w:pageBreakBefore w:val="0"/>
        <w:widowControl w:val="0"/>
        <w:numPr>
          <w:ilvl w:val="0"/>
          <w:numId w:val="4"/>
        </w:numPr>
        <w:tabs>
          <w:tab w:val="left" w:pos="6379"/>
        </w:tabs>
        <w:kinsoku/>
        <w:wordWrap/>
        <w:overflowPunct/>
        <w:topLinePunct w:val="0"/>
        <w:autoSpaceDE/>
        <w:autoSpaceDN/>
        <w:bidi w:val="0"/>
        <w:adjustRightInd w:val="0"/>
        <w:snapToGrid/>
        <w:spacing w:line="560" w:lineRule="exact"/>
        <w:ind w:left="0" w:leftChars="0"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如颁布了适用于本项目的污染物排放的新标准或要求，则按新标准或要求执行。</w:t>
      </w:r>
    </w:p>
    <w:p>
      <w:pPr>
        <w:pStyle w:val="48"/>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四、根据《报告表》，本项目有机废气（非甲烷总烃）排放量应控制在</w:t>
      </w:r>
      <w:r>
        <w:rPr>
          <w:rFonts w:hint="eastAsia" w:ascii="仿宋_GB2312" w:hAnsi="宋体" w:eastAsia="仿宋_GB2312" w:cs="仿宋_GB2312"/>
          <w:sz w:val="32"/>
          <w:szCs w:val="32"/>
          <w:lang w:val="en-US" w:eastAsia="zh-CN"/>
        </w:rPr>
        <w:t>5.643</w:t>
      </w:r>
      <w:r>
        <w:rPr>
          <w:rFonts w:hint="eastAsia" w:ascii="仿宋_GB2312" w:hAnsi="宋体" w:eastAsia="仿宋_GB2312" w:cs="仿宋_GB2312"/>
          <w:sz w:val="32"/>
          <w:szCs w:val="32"/>
          <w:lang w:eastAsia="zh-CN"/>
        </w:rPr>
        <w:t>t/a以内，化学需氧量排放量应控制在9.358t/a以内，氨氮排放量应控制在0.127t/a以内。</w:t>
      </w:r>
    </w:p>
    <w:p>
      <w:pPr>
        <w:pStyle w:val="48"/>
        <w:keepNext w:val="0"/>
        <w:keepLines w:val="0"/>
        <w:pageBreakBefore w:val="0"/>
        <w:widowControl w:val="0"/>
        <w:numPr>
          <w:ilvl w:val="0"/>
          <w:numId w:val="0"/>
        </w:numPr>
        <w:tabs>
          <w:tab w:val="left" w:pos="6379"/>
        </w:tabs>
        <w:kinsoku/>
        <w:wordWrap/>
        <w:overflowPunct/>
        <w:topLinePunct w:val="0"/>
        <w:autoSpaceDE/>
        <w:autoSpaceDN/>
        <w:bidi w:val="0"/>
        <w:adjustRightInd w:val="0"/>
        <w:snapToGrid/>
        <w:spacing w:line="560" w:lineRule="exact"/>
        <w:ind w:firstLine="618" w:firstLineChars="200"/>
        <w:textAlignment w:val="baseline"/>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五、《报告表》经批准后，建设项目的性质、规模、地点、采用的生产工艺或者防治污染、防止生态破坏的措施发生重大变动的，你单位应当重新报批建设项目的环境影响评价文件。</w:t>
      </w:r>
    </w:p>
    <w:p>
      <w:pPr>
        <w:pStyle w:val="63"/>
        <w:adjustRightInd w:val="0"/>
        <w:snapToGrid w:val="0"/>
        <w:spacing w:line="580" w:lineRule="exact"/>
        <w:ind w:firstLine="631"/>
        <w:jc w:val="both"/>
        <w:rPr>
          <w:rFonts w:hint="eastAsia" w:ascii="Times New Roman" w:cs="Times New Roman"/>
        </w:rPr>
      </w:pPr>
      <w:r>
        <w:rPr>
          <w:rFonts w:hint="eastAsia" w:ascii="仿宋_GB2312" w:hAnsi="宋体" w:eastAsia="仿宋_GB2312" w:cs="仿宋_GB2312"/>
          <w:sz w:val="32"/>
          <w:szCs w:val="32"/>
          <w:lang w:eastAsia="zh-CN"/>
        </w:rPr>
        <w:t>六、你公司应落实生态环境保护主体责任，加强生态环境管理，推进各项生态环境保护措施落实。项目建设必须严格执行环境保护设施与主体工程同时设计、同时施工、同时投产使用的环境保护“三同时”制度，</w:t>
      </w:r>
      <w:r>
        <w:rPr>
          <w:rFonts w:hint="eastAsia" w:ascii="Times New Roman" w:cs="Times New Roman"/>
        </w:rPr>
        <w:t>项目环保投资应纳入工程投资概算并予以落实</w:t>
      </w:r>
      <w:r>
        <w:rPr>
          <w:rFonts w:hint="eastAsia" w:ascii="Times New Roman" w:cs="Times New Roman"/>
          <w:lang w:eastAsia="zh-CN"/>
        </w:rPr>
        <w:t>，</w:t>
      </w:r>
      <w:r>
        <w:rPr>
          <w:rFonts w:hint="eastAsia" w:ascii="仿宋_GB2312" w:hAnsi="宋体" w:eastAsia="仿宋_GB2312" w:cs="仿宋_GB2312"/>
          <w:sz w:val="32"/>
          <w:szCs w:val="32"/>
          <w:lang w:eastAsia="zh-CN"/>
        </w:rPr>
        <w:t>并将优化和细化后的各项生态环境保护措施及概算纳入设计、施工、监理等招标文件及合同，明确责任。你公司应按照《排污许可管理条例》有关规定，依法申请排污许可证。项目建成运行后，应按规定程序实施竣工环境保护验收</w:t>
      </w:r>
      <w:r>
        <w:rPr>
          <w:rFonts w:hint="eastAsia" w:ascii="仿宋_GB2312" w:hAnsi="宋体" w:eastAsia="仿宋_GB2312" w:cs="仿宋_GB2312"/>
          <w:sz w:val="32"/>
          <w:szCs w:val="32"/>
        </w:rPr>
        <w:t>。建设项目环境保护“三同时”监督管理及竣工环境保护验收监管工作由云浮市生态环境局郁南分局</w:t>
      </w:r>
      <w:r>
        <w:rPr>
          <w:rFonts w:hint="eastAsia" w:ascii="仿宋" w:hAnsi="仿宋" w:eastAsia="仿宋"/>
          <w:sz w:val="32"/>
          <w:szCs w:val="32"/>
          <w:lang w:eastAsia="zh-CN"/>
        </w:rPr>
        <w:t>执法大队</w:t>
      </w:r>
      <w:r>
        <w:rPr>
          <w:rFonts w:hint="eastAsia" w:ascii="仿宋_GB2312" w:hAnsi="宋体" w:eastAsia="仿宋_GB2312" w:cs="仿宋_GB2312"/>
          <w:sz w:val="32"/>
          <w:szCs w:val="32"/>
        </w:rPr>
        <w:t>负责</w:t>
      </w:r>
      <w:r>
        <w:rPr>
          <w:rFonts w:hint="eastAsia" w:ascii="仿宋_GB2312" w:hAnsi="宋体" w:eastAsia="仿宋_GB2312" w:cs="仿宋_GB2312"/>
          <w:sz w:val="32"/>
          <w:szCs w:val="32"/>
          <w:lang w:eastAsia="zh-CN"/>
        </w:rPr>
        <w:t>，</w:t>
      </w:r>
      <w:r>
        <w:rPr>
          <w:rFonts w:hint="eastAsia" w:cs="仿宋_GB2312"/>
          <w:sz w:val="32"/>
          <w:szCs w:val="32"/>
          <w:lang w:eastAsia="zh-CN"/>
        </w:rPr>
        <w:t>你公司</w:t>
      </w:r>
      <w:r>
        <w:rPr>
          <w:rFonts w:hint="eastAsia" w:ascii="Times New Roman" w:cs="Times New Roman"/>
        </w:rPr>
        <w:t>并按规定接受生态环境主管部门日常监督检查。</w:t>
      </w:r>
    </w:p>
    <w:p>
      <w:pPr>
        <w:spacing w:line="560" w:lineRule="exact"/>
        <w:ind w:right="640" w:firstLine="618" w:firstLineChars="200"/>
        <w:rPr>
          <w:rFonts w:ascii="仿宋_GB2312" w:hAnsi="仿宋_GB2312" w:eastAsia="仿宋_GB2312"/>
          <w:sz w:val="32"/>
          <w:szCs w:val="32"/>
        </w:rPr>
      </w:pPr>
      <w:r>
        <w:rPr>
          <w:rFonts w:hint="eastAsia" w:ascii="仿宋_GB2312" w:hAnsi="仿宋_GB2312" w:eastAsia="仿宋_GB2312"/>
          <w:sz w:val="32"/>
          <w:szCs w:val="32"/>
          <w:lang w:eastAsia="zh-CN"/>
        </w:rPr>
        <w:t>七</w:t>
      </w:r>
      <w:r>
        <w:rPr>
          <w:rFonts w:hint="eastAsia" w:ascii="仿宋_GB2312" w:hAnsi="仿宋_GB2312" w:eastAsia="仿宋_GB2312"/>
          <w:sz w:val="32"/>
          <w:szCs w:val="32"/>
        </w:rPr>
        <w:t>、其他未尽事宜，以有关法律、法规为准。</w:t>
      </w: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both"/>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（此页无正文）</w:t>
      </w: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hint="eastAsia" w:ascii="仿宋_GB2312" w:hAnsi="宋体" w:eastAsia="仿宋_GB2312" w:cs="仿宋_GB2312"/>
          <w:sz w:val="32"/>
          <w:szCs w:val="32"/>
        </w:rPr>
      </w:pPr>
    </w:p>
    <w:p>
      <w:pPr>
        <w:pStyle w:val="48"/>
        <w:spacing w:line="560" w:lineRule="exact"/>
        <w:ind w:firstLine="618" w:firstLineChars="200"/>
        <w:jc w:val="right"/>
        <w:rPr>
          <w:rFonts w:ascii="仿宋_GB2312" w:hAnsi="宋体" w:eastAsia="仿宋_GB2312" w:cs="仿宋_GB2312"/>
          <w:sz w:val="32"/>
          <w:szCs w:val="32"/>
        </w:rPr>
      </w:pPr>
      <w:r>
        <w:rPr>
          <w:rFonts w:hint="eastAsia" w:ascii="仿宋_GB2312" w:hAnsi="宋体" w:eastAsia="仿宋_GB2312" w:cs="仿宋_GB2312"/>
          <w:sz w:val="32"/>
          <w:szCs w:val="32"/>
        </w:rPr>
        <w:t>云浮市生态环境局</w:t>
      </w:r>
    </w:p>
    <w:p>
      <w:pPr>
        <w:wordWrap w:val="0"/>
        <w:ind w:firstLine="652"/>
        <w:jc w:val="right"/>
        <w:rPr>
          <w:rFonts w:hint="eastAsia" w:ascii="仿宋_GB2312" w:hAnsi="宋体" w:eastAsia="仿宋_GB2312" w:cs="仿宋_GB2312"/>
          <w:sz w:val="32"/>
          <w:szCs w:val="32"/>
          <w:lang w:val="en-US" w:eastAsia="zh-CN"/>
        </w:rPr>
      </w:pPr>
      <w:r>
        <w:rPr>
          <w:rFonts w:ascii="仿宋_GB2312" w:hAnsi="宋体" w:eastAsia="仿宋_GB2312" w:cs="仿宋_GB2312"/>
          <w:sz w:val="32"/>
          <w:szCs w:val="32"/>
        </w:rPr>
        <w:t>20</w:t>
      </w:r>
      <w:r>
        <w:rPr>
          <w:rFonts w:hint="eastAsia" w:ascii="仿宋_GB2312" w:hAnsi="宋体" w:eastAsia="仿宋_GB2312" w:cs="仿宋_GB2312"/>
          <w:sz w:val="32"/>
          <w:szCs w:val="32"/>
        </w:rPr>
        <w:t>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10</w:t>
      </w:r>
      <w:r>
        <w:rPr>
          <w:rFonts w:hint="eastAsia" w:ascii="仿宋_GB2312" w:hAnsi="宋体" w:eastAsia="仿宋_GB2312" w:cs="仿宋_GB2312"/>
          <w:sz w:val="32"/>
          <w:szCs w:val="32"/>
        </w:rPr>
        <w:t>月</w:t>
      </w:r>
      <w:r>
        <w:rPr>
          <w:rFonts w:hint="eastAsia" w:ascii="仿宋_GB2312" w:hAnsi="宋体" w:eastAsia="仿宋_GB2312" w:cs="仿宋_GB2312"/>
          <w:sz w:val="32"/>
          <w:szCs w:val="32"/>
          <w:lang w:val="en-US" w:eastAsia="zh-CN"/>
        </w:rPr>
        <w:t>9日</w:t>
      </w:r>
    </w:p>
    <w:p>
      <w:pPr>
        <w:spacing w:line="560" w:lineRule="exact"/>
        <w:rPr>
          <w:rFonts w:hint="eastAsia"/>
          <w:b/>
          <w:sz w:val="32"/>
          <w:szCs w:val="32"/>
        </w:rPr>
      </w:pPr>
    </w:p>
    <w:p>
      <w:pPr>
        <w:spacing w:line="560" w:lineRule="exact"/>
        <w:rPr>
          <w:rFonts w:ascii="仿宋" w:hAnsi="仿宋" w:eastAsia="仿宋"/>
          <w:sz w:val="32"/>
          <w:szCs w:val="32"/>
        </w:rPr>
      </w:pPr>
      <w:r>
        <w:rPr>
          <w:rFonts w:hint="eastAsia"/>
          <w:b/>
          <w:sz w:val="32"/>
          <w:szCs w:val="32"/>
        </w:rPr>
        <w:t>公开方式：</w:t>
      </w:r>
      <w:r>
        <w:rPr>
          <w:rFonts w:hint="eastAsia"/>
          <w:sz w:val="32"/>
          <w:szCs w:val="32"/>
        </w:rPr>
        <w:t>主动公开</w:t>
      </w:r>
    </w:p>
    <w:tbl>
      <w:tblPr>
        <w:tblStyle w:val="27"/>
        <w:tblW w:w="9288"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288"/>
      </w:tblGrid>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910" w:hRule="atLeast"/>
        </w:trPr>
        <w:tc>
          <w:tcPr>
            <w:tcW w:w="9288" w:type="dxa"/>
            <w:tcBorders>
              <w:top w:val="single" w:color="auto" w:sz="8" w:space="0"/>
              <w:bottom w:val="single" w:color="auto" w:sz="8" w:space="0"/>
            </w:tcBorders>
          </w:tcPr>
          <w:p>
            <w:pPr>
              <w:spacing w:line="560" w:lineRule="exact"/>
              <w:ind w:left="940" w:leftChars="67" w:hanging="807" w:hangingChars="300"/>
              <w:rPr>
                <w:rFonts w:hint="eastAsia" w:eastAsia="仿宋_GB2312"/>
                <w:sz w:val="28"/>
                <w:szCs w:val="28"/>
                <w:lang w:eastAsia="zh-CN"/>
              </w:rPr>
            </w:pPr>
            <w:r>
              <w:rPr>
                <w:rFonts w:eastAsia="仿宋_GB2312"/>
                <w:sz w:val="28"/>
                <w:szCs w:val="28"/>
              </w:rPr>
              <w:t>抄</w:t>
            </w:r>
            <w:r>
              <w:rPr>
                <w:rFonts w:hint="eastAsia" w:eastAsia="仿宋_GB2312"/>
                <w:sz w:val="28"/>
                <w:szCs w:val="28"/>
                <w:lang w:eastAsia="zh-CN"/>
              </w:rPr>
              <w:t>报</w:t>
            </w:r>
            <w:r>
              <w:rPr>
                <w:rFonts w:eastAsia="仿宋_GB2312"/>
                <w:sz w:val="28"/>
                <w:szCs w:val="28"/>
              </w:rPr>
              <w:t>：</w:t>
            </w:r>
            <w:r>
              <w:rPr>
                <w:rFonts w:hint="eastAsia" w:eastAsia="仿宋_GB2312"/>
                <w:sz w:val="28"/>
                <w:szCs w:val="28"/>
                <w:lang w:eastAsia="zh-CN"/>
              </w:rPr>
              <w:t>云浮市生态环境局</w:t>
            </w:r>
          </w:p>
          <w:p>
            <w:pPr>
              <w:spacing w:line="560" w:lineRule="exact"/>
              <w:ind w:left="940" w:leftChars="67" w:hanging="807" w:hangingChars="300"/>
              <w:rPr>
                <w:rFonts w:hint="eastAsia" w:eastAsia="仿宋_GB2312"/>
                <w:sz w:val="28"/>
                <w:szCs w:val="28"/>
                <w:lang w:eastAsia="zh-CN"/>
              </w:rPr>
            </w:pPr>
            <w:r>
              <w:rPr>
                <w:rFonts w:hint="eastAsia" w:eastAsia="仿宋_GB2312"/>
                <w:sz w:val="28"/>
                <w:szCs w:val="28"/>
                <w:lang w:eastAsia="zh-CN"/>
              </w:rPr>
              <w:t>抄送：</w:t>
            </w:r>
            <w:r>
              <w:rPr>
                <w:rFonts w:hint="eastAsia" w:eastAsia="仿宋_GB2312"/>
                <w:sz w:val="28"/>
                <w:szCs w:val="28"/>
              </w:rPr>
              <w:t>云浮市生态环境局郁南分局</w:t>
            </w:r>
            <w:r>
              <w:rPr>
                <w:rFonts w:hint="eastAsia" w:eastAsia="仿宋_GB2312"/>
                <w:sz w:val="28"/>
                <w:szCs w:val="28"/>
                <w:lang w:eastAsia="zh-CN"/>
              </w:rPr>
              <w:t>执法大队、郁南县工信商务局、广东粤环生态环境有限公司</w:t>
            </w:r>
          </w:p>
        </w:tc>
      </w:tr>
      <w:tr>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321" w:hRule="atLeast"/>
        </w:trPr>
        <w:tc>
          <w:tcPr>
            <w:tcW w:w="9288" w:type="dxa"/>
            <w:tcBorders>
              <w:top w:val="single" w:color="auto" w:sz="8" w:space="0"/>
              <w:bottom w:val="single" w:color="auto" w:sz="8" w:space="0"/>
            </w:tcBorders>
          </w:tcPr>
          <w:p>
            <w:pPr>
              <w:spacing w:line="560" w:lineRule="exact"/>
              <w:ind w:left="940" w:leftChars="67" w:hanging="807" w:hangingChars="300"/>
              <w:rPr>
                <w:rFonts w:eastAsia="仿宋_GB2312"/>
                <w:sz w:val="28"/>
                <w:szCs w:val="28"/>
              </w:rPr>
            </w:pPr>
            <w:r>
              <w:rPr>
                <w:rFonts w:hint="eastAsia" w:eastAsia="仿宋_GB2312"/>
                <w:sz w:val="28"/>
                <w:szCs w:val="28"/>
              </w:rPr>
              <w:t>云浮市生态环境局</w:t>
            </w:r>
            <w:r>
              <w:rPr>
                <w:rFonts w:hint="eastAsia" w:eastAsia="仿宋_GB2312"/>
                <w:sz w:val="28"/>
                <w:szCs w:val="28"/>
                <w:lang w:eastAsia="zh-CN"/>
              </w:rPr>
              <w:t>郁南分局</w:t>
            </w:r>
            <w:r>
              <w:rPr>
                <w:rFonts w:hint="eastAsia" w:eastAsia="仿宋_GB2312"/>
                <w:sz w:val="28"/>
                <w:szCs w:val="28"/>
              </w:rPr>
              <w:t xml:space="preserve">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ascii="仿宋_GB2312" w:hAnsi="宋体" w:eastAsia="仿宋_GB2312" w:cs="仿宋_GB2312"/>
                <w:sz w:val="28"/>
                <w:szCs w:val="28"/>
              </w:rPr>
              <w:t>202</w:t>
            </w:r>
            <w:r>
              <w:rPr>
                <w:rFonts w:hint="eastAsia" w:ascii="仿宋_GB2312" w:hAnsi="宋体" w:eastAsia="仿宋_GB2312" w:cs="仿宋_GB2312"/>
                <w:sz w:val="28"/>
                <w:szCs w:val="28"/>
                <w:lang w:val="en-US" w:eastAsia="zh-CN"/>
              </w:rPr>
              <w:t>3</w:t>
            </w:r>
            <w:r>
              <w:rPr>
                <w:rFonts w:hint="eastAsia" w:ascii="仿宋_GB2312" w:hAnsi="宋体" w:eastAsia="仿宋_GB2312" w:cs="仿宋_GB2312"/>
                <w:sz w:val="28"/>
                <w:szCs w:val="28"/>
              </w:rPr>
              <w:t>年</w:t>
            </w:r>
            <w:r>
              <w:rPr>
                <w:rFonts w:hint="eastAsia" w:ascii="仿宋_GB2312" w:hAnsi="宋体" w:eastAsia="仿宋_GB2312" w:cs="仿宋_GB2312"/>
                <w:sz w:val="28"/>
                <w:szCs w:val="28"/>
                <w:lang w:val="en-US" w:eastAsia="zh-CN"/>
              </w:rPr>
              <w:t>10</w:t>
            </w:r>
            <w:r>
              <w:rPr>
                <w:rFonts w:hint="eastAsia" w:ascii="仿宋_GB2312" w:hAnsi="宋体" w:eastAsia="仿宋_GB2312" w:cs="仿宋_GB2312"/>
                <w:sz w:val="28"/>
                <w:szCs w:val="28"/>
              </w:rPr>
              <w:t>月</w:t>
            </w:r>
            <w:r>
              <w:rPr>
                <w:rFonts w:hint="eastAsia" w:ascii="仿宋_GB2312" w:hAnsi="宋体" w:eastAsia="仿宋_GB2312" w:cs="仿宋_GB2312"/>
                <w:sz w:val="28"/>
                <w:szCs w:val="28"/>
                <w:lang w:val="en-US" w:eastAsia="zh-CN"/>
              </w:rPr>
              <w:t>9</w:t>
            </w:r>
            <w:r>
              <w:rPr>
                <w:rFonts w:hint="eastAsia" w:ascii="仿宋_GB2312" w:hAnsi="宋体" w:eastAsia="仿宋_GB2312" w:cs="仿宋_GB2312"/>
                <w:sz w:val="28"/>
                <w:szCs w:val="28"/>
              </w:rPr>
              <w:t>日印发</w:t>
            </w:r>
          </w:p>
        </w:tc>
      </w:tr>
    </w:tbl>
    <w:p>
      <w:pPr>
        <w:spacing w:line="560" w:lineRule="exact"/>
        <w:rPr>
          <w:rFonts w:ascii="仿宋" w:hAnsi="仿宋" w:eastAsia="仿宋"/>
          <w:sz w:val="32"/>
          <w:szCs w:val="32"/>
        </w:rPr>
      </w:pPr>
      <w:bookmarkStart w:id="0" w:name="_GoBack"/>
      <w:bookmarkEnd w:id="0"/>
    </w:p>
    <w:sectPr>
      <w:footerReference r:id="rId3" w:type="default"/>
      <w:footerReference r:id="rId4" w:type="even"/>
      <w:pgSz w:w="11906" w:h="16838"/>
      <w:pgMar w:top="2098" w:right="1588" w:bottom="1985" w:left="1588" w:header="851" w:footer="1588" w:gutter="0"/>
      <w:cols w:space="425" w:num="1"/>
      <w:docGrid w:type="linesAndChars" w:linePitch="57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884503"/>
      <w:docPartObj>
        <w:docPartGallery w:val="autotext"/>
      </w:docPartObj>
    </w:sdtPr>
    <w:sdtEndPr>
      <w:rPr>
        <w:lang w:val="zh-CN"/>
      </w:rPr>
    </w:sdtEndPr>
    <w:sdtContent>
      <w:p>
        <w:pPr>
          <w:pStyle w:val="23"/>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lang w:val="zh-CN"/>
          </w:rPr>
          <w:fldChar w:fldCharType="end"/>
        </w:r>
        <w:r>
          <w:rPr>
            <w:rFonts w:hint="eastAsia" w:ascii="宋体" w:hAnsi="宋体" w:eastAsia="宋体"/>
            <w:sz w:val="28"/>
            <w:szCs w:val="28"/>
            <w:lang w:val="zh-CN"/>
          </w:rPr>
          <w:t>—</w:t>
        </w:r>
      </w:p>
    </w:sdtContent>
  </w:sdt>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20"/>
      <w:rPr>
        <w:lang w:val="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lang w:val="zh-CN"/>
      </w:rPr>
      <w:fldChar w:fldCharType="end"/>
    </w:r>
    <w:r>
      <w:rPr>
        <w:rFonts w:hint="eastAsia" w:ascii="宋体" w:hAnsi="宋体" w:eastAsia="宋体"/>
        <w:sz w:val="28"/>
        <w:szCs w:val="28"/>
        <w:lang w:val="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677B53"/>
    <w:multiLevelType w:val="singleLevel"/>
    <w:tmpl w:val="F2677B53"/>
    <w:lvl w:ilvl="0" w:tentative="0">
      <w:start w:val="1"/>
      <w:numFmt w:val="chineseCounting"/>
      <w:suff w:val="nothing"/>
      <w:lvlText w:val="%1、"/>
      <w:lvlJc w:val="left"/>
      <w:rPr>
        <w:rFonts w:hint="eastAsia"/>
      </w:rPr>
    </w:lvl>
  </w:abstractNum>
  <w:abstractNum w:abstractNumId="1">
    <w:nsid w:val="02E65B1A"/>
    <w:multiLevelType w:val="singleLevel"/>
    <w:tmpl w:val="02E65B1A"/>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2">
    <w:nsid w:val="38AFCEC3"/>
    <w:multiLevelType w:val="singleLevel"/>
    <w:tmpl w:val="38AFCEC3"/>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3">
    <w:nsid w:val="5C819DD4"/>
    <w:multiLevelType w:val="singleLevel"/>
    <w:tmpl w:val="5C819DD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U1OThjMjEyMWViNWY2MWE2NmZiNGIwYzNmNjMifQ=="/>
  </w:docVars>
  <w:rsids>
    <w:rsidRoot w:val="007018B2"/>
    <w:rsid w:val="0000337B"/>
    <w:rsid w:val="0000696D"/>
    <w:rsid w:val="0001071F"/>
    <w:rsid w:val="000168BD"/>
    <w:rsid w:val="00017675"/>
    <w:rsid w:val="00017B2A"/>
    <w:rsid w:val="0002168C"/>
    <w:rsid w:val="00055B0B"/>
    <w:rsid w:val="00060A28"/>
    <w:rsid w:val="00085B99"/>
    <w:rsid w:val="00087FB3"/>
    <w:rsid w:val="000D2499"/>
    <w:rsid w:val="000E50FB"/>
    <w:rsid w:val="000E7DC4"/>
    <w:rsid w:val="00100BD6"/>
    <w:rsid w:val="0010158A"/>
    <w:rsid w:val="00101A3F"/>
    <w:rsid w:val="001026CA"/>
    <w:rsid w:val="001151B5"/>
    <w:rsid w:val="00124159"/>
    <w:rsid w:val="00142605"/>
    <w:rsid w:val="001524E5"/>
    <w:rsid w:val="001659F1"/>
    <w:rsid w:val="00174D22"/>
    <w:rsid w:val="00175F06"/>
    <w:rsid w:val="0017704E"/>
    <w:rsid w:val="00182BD7"/>
    <w:rsid w:val="001831D2"/>
    <w:rsid w:val="00183696"/>
    <w:rsid w:val="00190E6E"/>
    <w:rsid w:val="0019512E"/>
    <w:rsid w:val="001A12AE"/>
    <w:rsid w:val="001C0EC5"/>
    <w:rsid w:val="001C3DEB"/>
    <w:rsid w:val="001D7EF0"/>
    <w:rsid w:val="001E08DC"/>
    <w:rsid w:val="001E5560"/>
    <w:rsid w:val="001E7934"/>
    <w:rsid w:val="001F3DED"/>
    <w:rsid w:val="00205800"/>
    <w:rsid w:val="00213E49"/>
    <w:rsid w:val="00215BFC"/>
    <w:rsid w:val="00224B19"/>
    <w:rsid w:val="00272C69"/>
    <w:rsid w:val="00276271"/>
    <w:rsid w:val="002814C9"/>
    <w:rsid w:val="00292CC5"/>
    <w:rsid w:val="002A23A0"/>
    <w:rsid w:val="002A3D10"/>
    <w:rsid w:val="002D227E"/>
    <w:rsid w:val="002E5B2F"/>
    <w:rsid w:val="002F195B"/>
    <w:rsid w:val="002F1D9C"/>
    <w:rsid w:val="002F35F3"/>
    <w:rsid w:val="002F5F92"/>
    <w:rsid w:val="0030016F"/>
    <w:rsid w:val="0034427E"/>
    <w:rsid w:val="00357A09"/>
    <w:rsid w:val="003701B7"/>
    <w:rsid w:val="00370A2F"/>
    <w:rsid w:val="003A6683"/>
    <w:rsid w:val="003B4C70"/>
    <w:rsid w:val="003C06EA"/>
    <w:rsid w:val="003C16EE"/>
    <w:rsid w:val="003D0771"/>
    <w:rsid w:val="003E59C9"/>
    <w:rsid w:val="003F111B"/>
    <w:rsid w:val="003F7AEF"/>
    <w:rsid w:val="003F7F9C"/>
    <w:rsid w:val="0041267F"/>
    <w:rsid w:val="00430473"/>
    <w:rsid w:val="004336C1"/>
    <w:rsid w:val="00435FE2"/>
    <w:rsid w:val="0045087E"/>
    <w:rsid w:val="0046537F"/>
    <w:rsid w:val="004657AE"/>
    <w:rsid w:val="004820A6"/>
    <w:rsid w:val="00486728"/>
    <w:rsid w:val="004B2333"/>
    <w:rsid w:val="004E0EB6"/>
    <w:rsid w:val="004E261E"/>
    <w:rsid w:val="004E5A28"/>
    <w:rsid w:val="004E63AA"/>
    <w:rsid w:val="004F7CF8"/>
    <w:rsid w:val="00500926"/>
    <w:rsid w:val="0052278E"/>
    <w:rsid w:val="00527AB5"/>
    <w:rsid w:val="00535B89"/>
    <w:rsid w:val="00542ED4"/>
    <w:rsid w:val="00543831"/>
    <w:rsid w:val="00550DEB"/>
    <w:rsid w:val="00572A61"/>
    <w:rsid w:val="0058695E"/>
    <w:rsid w:val="005B1A21"/>
    <w:rsid w:val="005B4AC4"/>
    <w:rsid w:val="005C7456"/>
    <w:rsid w:val="005E025A"/>
    <w:rsid w:val="005E22DB"/>
    <w:rsid w:val="005F6233"/>
    <w:rsid w:val="006166CD"/>
    <w:rsid w:val="00626C76"/>
    <w:rsid w:val="00632162"/>
    <w:rsid w:val="006427CC"/>
    <w:rsid w:val="00642DCE"/>
    <w:rsid w:val="00644626"/>
    <w:rsid w:val="00645190"/>
    <w:rsid w:val="00650902"/>
    <w:rsid w:val="00655A5E"/>
    <w:rsid w:val="0065604D"/>
    <w:rsid w:val="00661CAB"/>
    <w:rsid w:val="006727F0"/>
    <w:rsid w:val="00683C3A"/>
    <w:rsid w:val="0069244B"/>
    <w:rsid w:val="00695F25"/>
    <w:rsid w:val="006A6999"/>
    <w:rsid w:val="006B29E5"/>
    <w:rsid w:val="006B6218"/>
    <w:rsid w:val="006C6FB1"/>
    <w:rsid w:val="006D1D38"/>
    <w:rsid w:val="006D2877"/>
    <w:rsid w:val="006E3F38"/>
    <w:rsid w:val="006F17B1"/>
    <w:rsid w:val="007018B2"/>
    <w:rsid w:val="007066C7"/>
    <w:rsid w:val="00713217"/>
    <w:rsid w:val="00713BC3"/>
    <w:rsid w:val="007261CA"/>
    <w:rsid w:val="0073126F"/>
    <w:rsid w:val="007331A3"/>
    <w:rsid w:val="00743053"/>
    <w:rsid w:val="00746DE1"/>
    <w:rsid w:val="0076178E"/>
    <w:rsid w:val="00781CDC"/>
    <w:rsid w:val="00786A70"/>
    <w:rsid w:val="007B7E9F"/>
    <w:rsid w:val="007D4616"/>
    <w:rsid w:val="007D6CE7"/>
    <w:rsid w:val="007E45E4"/>
    <w:rsid w:val="007E5CA7"/>
    <w:rsid w:val="007F2632"/>
    <w:rsid w:val="007F378E"/>
    <w:rsid w:val="00802E5F"/>
    <w:rsid w:val="00810530"/>
    <w:rsid w:val="00837F2D"/>
    <w:rsid w:val="00841BF6"/>
    <w:rsid w:val="0084408A"/>
    <w:rsid w:val="00846FE5"/>
    <w:rsid w:val="008568E1"/>
    <w:rsid w:val="00867B49"/>
    <w:rsid w:val="0087326F"/>
    <w:rsid w:val="00887EA1"/>
    <w:rsid w:val="00896E6A"/>
    <w:rsid w:val="008A0926"/>
    <w:rsid w:val="008A0E15"/>
    <w:rsid w:val="008C23A2"/>
    <w:rsid w:val="008D7B2D"/>
    <w:rsid w:val="008F7E94"/>
    <w:rsid w:val="00901A6D"/>
    <w:rsid w:val="00916D83"/>
    <w:rsid w:val="009262BF"/>
    <w:rsid w:val="00947153"/>
    <w:rsid w:val="009534A2"/>
    <w:rsid w:val="00972245"/>
    <w:rsid w:val="009742FE"/>
    <w:rsid w:val="009746AB"/>
    <w:rsid w:val="0098013A"/>
    <w:rsid w:val="009821E2"/>
    <w:rsid w:val="00982FA8"/>
    <w:rsid w:val="00994B8F"/>
    <w:rsid w:val="00996597"/>
    <w:rsid w:val="009A24DF"/>
    <w:rsid w:val="009B2ADB"/>
    <w:rsid w:val="009B2F86"/>
    <w:rsid w:val="009B3902"/>
    <w:rsid w:val="009B4374"/>
    <w:rsid w:val="009B6917"/>
    <w:rsid w:val="009C4C84"/>
    <w:rsid w:val="009C5E12"/>
    <w:rsid w:val="009D56BE"/>
    <w:rsid w:val="009D7CFF"/>
    <w:rsid w:val="009D7FF2"/>
    <w:rsid w:val="009E49BB"/>
    <w:rsid w:val="00A15D48"/>
    <w:rsid w:val="00A33522"/>
    <w:rsid w:val="00A36FB5"/>
    <w:rsid w:val="00A43F2C"/>
    <w:rsid w:val="00A442A4"/>
    <w:rsid w:val="00A53CFF"/>
    <w:rsid w:val="00A739CC"/>
    <w:rsid w:val="00A81C24"/>
    <w:rsid w:val="00A83326"/>
    <w:rsid w:val="00A92073"/>
    <w:rsid w:val="00AB04FA"/>
    <w:rsid w:val="00AB1D61"/>
    <w:rsid w:val="00AB354F"/>
    <w:rsid w:val="00AB5933"/>
    <w:rsid w:val="00AC324D"/>
    <w:rsid w:val="00AC4190"/>
    <w:rsid w:val="00AD19BF"/>
    <w:rsid w:val="00AF0F88"/>
    <w:rsid w:val="00B04C94"/>
    <w:rsid w:val="00B05C00"/>
    <w:rsid w:val="00B23175"/>
    <w:rsid w:val="00B442CC"/>
    <w:rsid w:val="00B55D70"/>
    <w:rsid w:val="00B61E39"/>
    <w:rsid w:val="00B74259"/>
    <w:rsid w:val="00B77256"/>
    <w:rsid w:val="00B87148"/>
    <w:rsid w:val="00BB1F61"/>
    <w:rsid w:val="00BC3597"/>
    <w:rsid w:val="00C04C05"/>
    <w:rsid w:val="00C21661"/>
    <w:rsid w:val="00C22186"/>
    <w:rsid w:val="00C22670"/>
    <w:rsid w:val="00C228EB"/>
    <w:rsid w:val="00C30697"/>
    <w:rsid w:val="00C31C70"/>
    <w:rsid w:val="00C406C7"/>
    <w:rsid w:val="00C473CB"/>
    <w:rsid w:val="00C5479F"/>
    <w:rsid w:val="00C56E7F"/>
    <w:rsid w:val="00C61832"/>
    <w:rsid w:val="00C72CB8"/>
    <w:rsid w:val="00C87475"/>
    <w:rsid w:val="00C94475"/>
    <w:rsid w:val="00C95DC1"/>
    <w:rsid w:val="00CA3374"/>
    <w:rsid w:val="00CA4A02"/>
    <w:rsid w:val="00CA5768"/>
    <w:rsid w:val="00CB5B09"/>
    <w:rsid w:val="00CC377D"/>
    <w:rsid w:val="00CC5E43"/>
    <w:rsid w:val="00CE5F98"/>
    <w:rsid w:val="00CF4F2E"/>
    <w:rsid w:val="00D035BE"/>
    <w:rsid w:val="00D03F64"/>
    <w:rsid w:val="00D0748B"/>
    <w:rsid w:val="00D10BC6"/>
    <w:rsid w:val="00D20522"/>
    <w:rsid w:val="00D24F59"/>
    <w:rsid w:val="00D456CB"/>
    <w:rsid w:val="00D5113E"/>
    <w:rsid w:val="00D570E5"/>
    <w:rsid w:val="00D62FB9"/>
    <w:rsid w:val="00D64321"/>
    <w:rsid w:val="00D763A6"/>
    <w:rsid w:val="00D81BA9"/>
    <w:rsid w:val="00D844DE"/>
    <w:rsid w:val="00D852BF"/>
    <w:rsid w:val="00DC17C7"/>
    <w:rsid w:val="00DC40F4"/>
    <w:rsid w:val="00DD1B6E"/>
    <w:rsid w:val="00DD3D0A"/>
    <w:rsid w:val="00DD4152"/>
    <w:rsid w:val="00DD5CD2"/>
    <w:rsid w:val="00E05EB2"/>
    <w:rsid w:val="00E14600"/>
    <w:rsid w:val="00E16F27"/>
    <w:rsid w:val="00E31768"/>
    <w:rsid w:val="00E544B6"/>
    <w:rsid w:val="00E55542"/>
    <w:rsid w:val="00E57768"/>
    <w:rsid w:val="00E57B95"/>
    <w:rsid w:val="00E6218D"/>
    <w:rsid w:val="00E6250B"/>
    <w:rsid w:val="00E63897"/>
    <w:rsid w:val="00E72049"/>
    <w:rsid w:val="00E76311"/>
    <w:rsid w:val="00E85229"/>
    <w:rsid w:val="00E86023"/>
    <w:rsid w:val="00E900F1"/>
    <w:rsid w:val="00E9214F"/>
    <w:rsid w:val="00F04DE7"/>
    <w:rsid w:val="00F20573"/>
    <w:rsid w:val="00F24981"/>
    <w:rsid w:val="00F3196E"/>
    <w:rsid w:val="00F45C3B"/>
    <w:rsid w:val="00F471E9"/>
    <w:rsid w:val="00F5351C"/>
    <w:rsid w:val="00F6009A"/>
    <w:rsid w:val="00F635FD"/>
    <w:rsid w:val="00F73834"/>
    <w:rsid w:val="00F86A61"/>
    <w:rsid w:val="00F948B6"/>
    <w:rsid w:val="00FA26D0"/>
    <w:rsid w:val="00FB1999"/>
    <w:rsid w:val="00FB2A77"/>
    <w:rsid w:val="00FB3423"/>
    <w:rsid w:val="00FB4D22"/>
    <w:rsid w:val="00FC34ED"/>
    <w:rsid w:val="00FC3571"/>
    <w:rsid w:val="00FC54D0"/>
    <w:rsid w:val="00FD2FB5"/>
    <w:rsid w:val="00FD67D9"/>
    <w:rsid w:val="00FE33BB"/>
    <w:rsid w:val="00FE7807"/>
    <w:rsid w:val="00FF1E29"/>
    <w:rsid w:val="057A6D86"/>
    <w:rsid w:val="065D63F9"/>
    <w:rsid w:val="08FC797C"/>
    <w:rsid w:val="0A1C3A62"/>
    <w:rsid w:val="0DD93A8D"/>
    <w:rsid w:val="10390BE8"/>
    <w:rsid w:val="115B6D04"/>
    <w:rsid w:val="131D0B7D"/>
    <w:rsid w:val="152A52A8"/>
    <w:rsid w:val="16D125AF"/>
    <w:rsid w:val="1BB12C0A"/>
    <w:rsid w:val="1D9F4047"/>
    <w:rsid w:val="20701949"/>
    <w:rsid w:val="2073362B"/>
    <w:rsid w:val="207B66B3"/>
    <w:rsid w:val="21C2063F"/>
    <w:rsid w:val="22C73E50"/>
    <w:rsid w:val="26B10B3C"/>
    <w:rsid w:val="272B000B"/>
    <w:rsid w:val="2732279D"/>
    <w:rsid w:val="2A1A3523"/>
    <w:rsid w:val="2B1C6CE5"/>
    <w:rsid w:val="2C900303"/>
    <w:rsid w:val="2DEF42D9"/>
    <w:rsid w:val="33EE7D56"/>
    <w:rsid w:val="36FF38B1"/>
    <w:rsid w:val="377823C0"/>
    <w:rsid w:val="39C96289"/>
    <w:rsid w:val="3B0F1D00"/>
    <w:rsid w:val="3CFE05B6"/>
    <w:rsid w:val="3E452E82"/>
    <w:rsid w:val="3ECC03C7"/>
    <w:rsid w:val="3F593C0C"/>
    <w:rsid w:val="42384272"/>
    <w:rsid w:val="42BD3FF3"/>
    <w:rsid w:val="432902D2"/>
    <w:rsid w:val="43471678"/>
    <w:rsid w:val="43C95E83"/>
    <w:rsid w:val="462F5496"/>
    <w:rsid w:val="46420E9F"/>
    <w:rsid w:val="464C2236"/>
    <w:rsid w:val="4668069A"/>
    <w:rsid w:val="48AA029F"/>
    <w:rsid w:val="49896926"/>
    <w:rsid w:val="4B595B0C"/>
    <w:rsid w:val="4C2F6420"/>
    <w:rsid w:val="4C377AEE"/>
    <w:rsid w:val="4C3C08E4"/>
    <w:rsid w:val="4C9E43F2"/>
    <w:rsid w:val="4CA27B6A"/>
    <w:rsid w:val="4D2C25E2"/>
    <w:rsid w:val="4E900F23"/>
    <w:rsid w:val="4EB24D70"/>
    <w:rsid w:val="4F242BD6"/>
    <w:rsid w:val="4FDD11EC"/>
    <w:rsid w:val="521B56E4"/>
    <w:rsid w:val="537E7EF9"/>
    <w:rsid w:val="540D6A1F"/>
    <w:rsid w:val="5699372D"/>
    <w:rsid w:val="5F3C5659"/>
    <w:rsid w:val="601576CB"/>
    <w:rsid w:val="60804257"/>
    <w:rsid w:val="615B513E"/>
    <w:rsid w:val="61A23E04"/>
    <w:rsid w:val="6352125E"/>
    <w:rsid w:val="641C601F"/>
    <w:rsid w:val="64CB5CC0"/>
    <w:rsid w:val="656859A9"/>
    <w:rsid w:val="67342184"/>
    <w:rsid w:val="67393D46"/>
    <w:rsid w:val="67834372"/>
    <w:rsid w:val="6BDD0DCB"/>
    <w:rsid w:val="6C045A1E"/>
    <w:rsid w:val="6CB06CB1"/>
    <w:rsid w:val="6D54763D"/>
    <w:rsid w:val="6D612186"/>
    <w:rsid w:val="6D666F88"/>
    <w:rsid w:val="6E025B18"/>
    <w:rsid w:val="6EF451B8"/>
    <w:rsid w:val="6EF90EF2"/>
    <w:rsid w:val="7098520A"/>
    <w:rsid w:val="71092E34"/>
    <w:rsid w:val="71E8184A"/>
    <w:rsid w:val="72633795"/>
    <w:rsid w:val="73101E81"/>
    <w:rsid w:val="738C4607"/>
    <w:rsid w:val="74524DD3"/>
    <w:rsid w:val="749B427A"/>
    <w:rsid w:val="74C12F08"/>
    <w:rsid w:val="74C71564"/>
    <w:rsid w:val="75577A24"/>
    <w:rsid w:val="75FB0851"/>
    <w:rsid w:val="7AC51161"/>
    <w:rsid w:val="7BAE713A"/>
    <w:rsid w:val="7C932892"/>
    <w:rsid w:val="7D233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qFormat="1" w:unhideWhenUsed="0" w:uiPriority="0" w:semiHidden="0"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widowControl w:val="0"/>
      <w:spacing w:line="360" w:lineRule="auto"/>
      <w:jc w:val="both"/>
      <w:outlineLvl w:val="0"/>
    </w:pPr>
    <w:rPr>
      <w:rFonts w:ascii="宋体"/>
      <w:b/>
      <w:kern w:val="2"/>
      <w:sz w:val="24"/>
      <w:szCs w:val="24"/>
      <w:lang w:val="en-US" w:eastAsia="zh-CN" w:bidi="ar-SA"/>
    </w:rPr>
  </w:style>
  <w:style w:type="paragraph" w:styleId="5">
    <w:name w:val="heading 2"/>
    <w:basedOn w:val="1"/>
    <w:next w:val="1"/>
    <w:qFormat/>
    <w:uiPriority w:val="0"/>
    <w:pPr>
      <w:keepNext/>
      <w:keepLines/>
      <w:autoSpaceDE w:val="0"/>
      <w:autoSpaceDN w:val="0"/>
      <w:adjustRightInd w:val="0"/>
      <w:snapToGrid w:val="0"/>
      <w:spacing w:before="120" w:after="120"/>
      <w:outlineLvl w:val="1"/>
    </w:pPr>
    <w:rPr>
      <w:rFonts w:ascii="宋体" w:hAnsi="Arial" w:eastAsia="楷体_GB2312"/>
      <w:b/>
      <w:kern w:val="24"/>
      <w:sz w:val="24"/>
      <w:szCs w:val="21"/>
    </w:rPr>
  </w:style>
  <w:style w:type="paragraph" w:styleId="6">
    <w:name w:val="heading 3"/>
    <w:basedOn w:val="1"/>
    <w:next w:val="1"/>
    <w:qFormat/>
    <w:uiPriority w:val="0"/>
    <w:pPr>
      <w:keepNext/>
      <w:keepLines/>
      <w:snapToGrid w:val="0"/>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napToGrid w:val="0"/>
      <w:spacing w:before="60" w:after="60"/>
      <w:ind w:leftChars="100"/>
      <w:outlineLvl w:val="0"/>
    </w:pPr>
    <w:rPr>
      <w:rFonts w:ascii="Arial" w:hAnsi="Arial" w:cs="Arial"/>
      <w:b/>
      <w:bCs/>
      <w:snapToGrid w:val="0"/>
      <w:kern w:val="0"/>
      <w:sz w:val="24"/>
      <w:szCs w:val="32"/>
    </w:rPr>
  </w:style>
  <w:style w:type="paragraph" w:styleId="8">
    <w:name w:val="List 3"/>
    <w:basedOn w:val="1"/>
    <w:next w:val="1"/>
    <w:qFormat/>
    <w:uiPriority w:val="0"/>
    <w:pPr>
      <w:ind w:left="100" w:leftChars="400" w:hanging="200" w:hangingChars="200"/>
    </w:pPr>
  </w:style>
  <w:style w:type="paragraph" w:styleId="9">
    <w:name w:val="E-mail Signature"/>
    <w:basedOn w:val="1"/>
    <w:next w:val="10"/>
    <w:qFormat/>
    <w:uiPriority w:val="0"/>
    <w:pPr>
      <w:spacing w:line="460" w:lineRule="exact"/>
      <w:ind w:firstLine="200"/>
    </w:pPr>
  </w:style>
  <w:style w:type="paragraph" w:customStyle="1" w:styleId="10">
    <w:name w:val="文章"/>
    <w:basedOn w:val="11"/>
    <w:next w:val="12"/>
    <w:qFormat/>
    <w:uiPriority w:val="0"/>
    <w:pPr>
      <w:widowControl/>
      <w:ind w:firstLine="480"/>
      <w:jc w:val="center"/>
    </w:pPr>
    <w:rPr>
      <w:sz w:val="26"/>
    </w:rPr>
  </w:style>
  <w:style w:type="paragraph" w:styleId="11">
    <w:name w:val="Body Text Indent"/>
    <w:basedOn w:val="1"/>
    <w:next w:val="2"/>
    <w:qFormat/>
    <w:uiPriority w:val="0"/>
    <w:pPr>
      <w:spacing w:line="460" w:lineRule="exact"/>
      <w:ind w:firstLine="570"/>
    </w:pPr>
    <w:rPr>
      <w:sz w:val="28"/>
    </w:rPr>
  </w:style>
  <w:style w:type="paragraph" w:styleId="12">
    <w:name w:val="List"/>
    <w:basedOn w:val="1"/>
    <w:next w:val="1"/>
    <w:qFormat/>
    <w:uiPriority w:val="0"/>
    <w:pPr>
      <w:ind w:left="200" w:hanging="200" w:hangingChars="200"/>
      <w:contextualSpacing/>
    </w:pPr>
  </w:style>
  <w:style w:type="paragraph" w:styleId="13">
    <w:name w:val="Normal Indent"/>
    <w:basedOn w:val="1"/>
    <w:next w:val="1"/>
    <w:qFormat/>
    <w:uiPriority w:val="0"/>
    <w:pPr>
      <w:keepNext w:val="0"/>
      <w:keepLines w:val="0"/>
      <w:widowControl w:val="0"/>
      <w:suppressLineNumbers w:val="0"/>
      <w:spacing w:before="0" w:beforeAutospacing="0" w:after="0" w:afterAutospacing="0"/>
      <w:ind w:left="0" w:right="0" w:firstLine="420"/>
      <w:jc w:val="both"/>
    </w:pPr>
    <w:rPr>
      <w:rFonts w:hint="eastAsia" w:ascii="等线" w:hAnsi="等线" w:eastAsia="宋体" w:cs="Times New Roman"/>
      <w:kern w:val="2"/>
      <w:sz w:val="21"/>
      <w:szCs w:val="22"/>
      <w:lang w:val="en-US" w:eastAsia="zh-CN" w:bidi="ar"/>
    </w:rPr>
  </w:style>
  <w:style w:type="paragraph" w:styleId="14">
    <w:name w:val="List Bullet 2"/>
    <w:basedOn w:val="1"/>
    <w:next w:val="15"/>
    <w:semiHidden/>
    <w:unhideWhenUsed/>
    <w:qFormat/>
    <w:uiPriority w:val="99"/>
    <w:pPr>
      <w:numPr>
        <w:ilvl w:val="0"/>
        <w:numId w:val="1"/>
      </w:numPr>
    </w:pPr>
  </w:style>
  <w:style w:type="paragraph" w:customStyle="1" w:styleId="15">
    <w:name w:val="xl70"/>
    <w:basedOn w:val="1"/>
    <w:next w:val="16"/>
    <w:qFormat/>
    <w:uiPriority w:val="0"/>
    <w:pPr>
      <w:widowControl/>
      <w:spacing w:before="280" w:after="280"/>
    </w:pPr>
    <w:rPr>
      <w:rFonts w:ascii="宋体"/>
    </w:rPr>
  </w:style>
  <w:style w:type="paragraph" w:customStyle="1" w:styleId="16">
    <w:name w:val="正文缩进1"/>
    <w:basedOn w:val="1"/>
    <w:next w:val="17"/>
    <w:qFormat/>
    <w:uiPriority w:val="0"/>
    <w:pPr>
      <w:ind w:firstLine="420"/>
    </w:pPr>
    <w:rPr>
      <w:rFonts w:ascii="宋体"/>
      <w:sz w:val="28"/>
    </w:rPr>
  </w:style>
  <w:style w:type="paragraph" w:customStyle="1" w:styleId="17">
    <w:name w:val="td1"/>
    <w:basedOn w:val="1"/>
    <w:next w:val="1"/>
    <w:qFormat/>
    <w:uiPriority w:val="0"/>
    <w:pPr>
      <w:widowControl/>
      <w:spacing w:before="280" w:after="280" w:line="300" w:lineRule="atLeast"/>
      <w:ind w:firstLine="200"/>
    </w:pPr>
    <w:rPr>
      <w:color w:val="000000"/>
      <w:sz w:val="18"/>
    </w:rPr>
  </w:style>
  <w:style w:type="paragraph" w:styleId="18">
    <w:name w:val="Plain Text"/>
    <w:basedOn w:val="1"/>
    <w:next w:val="19"/>
    <w:semiHidden/>
    <w:qFormat/>
    <w:uiPriority w:val="0"/>
    <w:rPr>
      <w:rFonts w:ascii="宋体" w:hAnsi="Courier New"/>
    </w:rPr>
  </w:style>
  <w:style w:type="paragraph" w:styleId="19">
    <w:name w:val="Normal (Web)"/>
    <w:basedOn w:val="1"/>
    <w:qFormat/>
    <w:uiPriority w:val="0"/>
    <w:pPr>
      <w:widowControl/>
      <w:spacing w:before="100" w:beforeAutospacing="1" w:after="100" w:afterAutospacing="1" w:line="360" w:lineRule="atLeast"/>
      <w:jc w:val="left"/>
    </w:pPr>
    <w:rPr>
      <w:rFonts w:ascii="宋体" w:hAnsi="宋体" w:eastAsia="宋体" w:cs="Times New Roman"/>
      <w:kern w:val="0"/>
      <w:szCs w:val="21"/>
    </w:rPr>
  </w:style>
  <w:style w:type="paragraph" w:styleId="20">
    <w:name w:val="List Bullet 5"/>
    <w:basedOn w:val="1"/>
    <w:semiHidden/>
    <w:unhideWhenUsed/>
    <w:qFormat/>
    <w:uiPriority w:val="99"/>
    <w:pPr>
      <w:numPr>
        <w:ilvl w:val="0"/>
        <w:numId w:val="2"/>
      </w:numPr>
    </w:pPr>
  </w:style>
  <w:style w:type="paragraph" w:styleId="21">
    <w:name w:val="Date"/>
    <w:basedOn w:val="1"/>
    <w:next w:val="1"/>
    <w:link w:val="45"/>
    <w:semiHidden/>
    <w:unhideWhenUsed/>
    <w:qFormat/>
    <w:uiPriority w:val="99"/>
    <w:pPr>
      <w:ind w:left="100" w:leftChars="2500"/>
    </w:pPr>
  </w:style>
  <w:style w:type="paragraph" w:styleId="22">
    <w:name w:val="Balloon Text"/>
    <w:basedOn w:val="1"/>
    <w:link w:val="43"/>
    <w:semiHidden/>
    <w:unhideWhenUsed/>
    <w:qFormat/>
    <w:uiPriority w:val="99"/>
    <w:rPr>
      <w:sz w:val="18"/>
      <w:szCs w:val="18"/>
    </w:rPr>
  </w:style>
  <w:style w:type="paragraph" w:styleId="23">
    <w:name w:val="footer"/>
    <w:basedOn w:val="1"/>
    <w:link w:val="42"/>
    <w:unhideWhenUsed/>
    <w:qFormat/>
    <w:uiPriority w:val="99"/>
    <w:pPr>
      <w:tabs>
        <w:tab w:val="center" w:pos="4153"/>
        <w:tab w:val="right" w:pos="8306"/>
      </w:tabs>
      <w:snapToGrid w:val="0"/>
      <w:jc w:val="left"/>
    </w:pPr>
    <w:rPr>
      <w:sz w:val="18"/>
      <w:szCs w:val="18"/>
    </w:rPr>
  </w:style>
  <w:style w:type="paragraph" w:styleId="24">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2"/>
    <w:basedOn w:val="1"/>
    <w:next w:val="1"/>
    <w:qFormat/>
    <w:uiPriority w:val="0"/>
    <w:pPr>
      <w:tabs>
        <w:tab w:val="right" w:leader="dot" w:pos="9060"/>
      </w:tabs>
      <w:spacing w:line="360" w:lineRule="auto"/>
      <w:ind w:left="420" w:leftChars="200"/>
    </w:pPr>
  </w:style>
  <w:style w:type="paragraph" w:styleId="26">
    <w:name w:val="Body Text First Indent"/>
    <w:basedOn w:val="2"/>
    <w:qFormat/>
    <w:uiPriority w:val="99"/>
    <w:pPr>
      <w:ind w:firstLine="420" w:firstLineChars="100"/>
    </w:pPr>
    <w:rPr>
      <w:szCs w:val="24"/>
    </w:rPr>
  </w:style>
  <w:style w:type="paragraph" w:customStyle="1" w:styleId="29">
    <w:name w:val="Default"/>
    <w:basedOn w:val="30"/>
    <w:next w:val="12"/>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0">
    <w:name w:val="纯文本1"/>
    <w:basedOn w:val="1"/>
    <w:next w:val="1"/>
    <w:qFormat/>
    <w:uiPriority w:val="0"/>
    <w:pPr>
      <w:adjustRightInd w:val="0"/>
    </w:pPr>
    <w:rPr>
      <w:rFonts w:hAnsi="Courier New"/>
      <w:szCs w:val="20"/>
    </w:rPr>
  </w:style>
  <w:style w:type="paragraph" w:customStyle="1" w:styleId="31">
    <w:name w:val="样式35"/>
    <w:basedOn w:val="32"/>
    <w:next w:val="37"/>
    <w:qFormat/>
    <w:uiPriority w:val="0"/>
    <w:pPr>
      <w:tabs>
        <w:tab w:val="left" w:pos="0"/>
        <w:tab w:val="left" w:pos="360"/>
        <w:tab w:val="left" w:pos="540"/>
        <w:tab w:val="left" w:pos="567"/>
        <w:tab w:val="left" w:pos="4140"/>
      </w:tabs>
      <w:spacing w:line="312" w:lineRule="auto"/>
      <w:ind w:firstLine="567"/>
    </w:pPr>
    <w:rPr>
      <w:rFonts w:ascii="宋体"/>
      <w:sz w:val="28"/>
    </w:rPr>
  </w:style>
  <w:style w:type="paragraph" w:customStyle="1" w:styleId="32">
    <w:name w:val="样式26"/>
    <w:basedOn w:val="33"/>
    <w:qFormat/>
    <w:uiPriority w:val="0"/>
    <w:pPr>
      <w:tabs>
        <w:tab w:val="left" w:pos="0"/>
        <w:tab w:val="left" w:pos="360"/>
        <w:tab w:val="left" w:pos="540"/>
        <w:tab w:val="left" w:pos="567"/>
        <w:tab w:val="left" w:pos="4140"/>
      </w:tabs>
    </w:pPr>
  </w:style>
  <w:style w:type="paragraph" w:customStyle="1" w:styleId="33">
    <w:name w:val="样式21"/>
    <w:basedOn w:val="34"/>
    <w:qFormat/>
    <w:uiPriority w:val="0"/>
    <w:pPr>
      <w:tabs>
        <w:tab w:val="left" w:pos="360"/>
        <w:tab w:val="left" w:pos="567"/>
        <w:tab w:val="left" w:pos="4140"/>
      </w:tabs>
      <w:spacing w:beforeLines="0" w:afterLines="0"/>
      <w:ind w:hanging="992"/>
    </w:pPr>
    <w:rPr>
      <w:kern w:val="0"/>
    </w:rPr>
  </w:style>
  <w:style w:type="paragraph" w:customStyle="1" w:styleId="34">
    <w:name w:val="样式5"/>
    <w:basedOn w:val="35"/>
    <w:qFormat/>
    <w:uiPriority w:val="0"/>
    <w:pPr>
      <w:tabs>
        <w:tab w:val="left" w:pos="360"/>
        <w:tab w:val="left" w:pos="567"/>
        <w:tab w:val="left" w:pos="4140"/>
      </w:tabs>
    </w:pPr>
  </w:style>
  <w:style w:type="paragraph" w:customStyle="1" w:styleId="35">
    <w:name w:val="样式12"/>
    <w:basedOn w:val="36"/>
    <w:qFormat/>
    <w:uiPriority w:val="0"/>
    <w:pPr>
      <w:keepNext/>
      <w:keepLines/>
      <w:tabs>
        <w:tab w:val="left" w:pos="360"/>
        <w:tab w:val="left" w:pos="4140"/>
      </w:tabs>
      <w:spacing w:beforeLines="50" w:afterLines="50"/>
      <w:ind w:left="567" w:hanging="567"/>
      <w:outlineLvl w:val="1"/>
    </w:pPr>
    <w:rPr>
      <w:rFonts w:eastAsia="黑体"/>
      <w:sz w:val="28"/>
      <w:szCs w:val="28"/>
    </w:rPr>
  </w:style>
  <w:style w:type="paragraph" w:customStyle="1" w:styleId="36">
    <w:name w:val="样式 标题 3标题 3 Char标题3H3h33rd level第二层条三级标题ReHead 3 WSA头..."/>
    <w:basedOn w:val="6"/>
    <w:qFormat/>
    <w:uiPriority w:val="0"/>
    <w:pPr>
      <w:numPr>
        <w:ilvl w:val="0"/>
        <w:numId w:val="0"/>
      </w:numPr>
      <w:tabs>
        <w:tab w:val="left" w:pos="4140"/>
      </w:tabs>
      <w:spacing w:before="260" w:beforeAutospacing="0" w:after="260" w:afterAutospacing="0" w:line="416" w:lineRule="auto"/>
      <w:ind w:left="4140" w:hanging="720"/>
    </w:pPr>
    <w:rPr>
      <w:rFonts w:eastAsia="黑体"/>
      <w:color w:val="FF0000"/>
    </w:rPr>
  </w:style>
  <w:style w:type="paragraph" w:customStyle="1" w:styleId="37">
    <w:name w:val="font6"/>
    <w:basedOn w:val="1"/>
    <w:next w:val="25"/>
    <w:qFormat/>
    <w:uiPriority w:val="0"/>
    <w:pPr>
      <w:widowControl/>
      <w:spacing w:before="280" w:after="280"/>
    </w:pPr>
  </w:style>
  <w:style w:type="paragraph" w:customStyle="1" w:styleId="38">
    <w:name w:val="表 内容"/>
    <w:basedOn w:val="1"/>
    <w:qFormat/>
    <w:uiPriority w:val="0"/>
    <w:pPr>
      <w:jc w:val="center"/>
    </w:pPr>
    <w:rPr>
      <w:rFonts w:hAnsi="宋体"/>
      <w:szCs w:val="20"/>
    </w:rPr>
  </w:style>
  <w:style w:type="paragraph" w:customStyle="1" w:styleId="39">
    <w:name w:val="样式 标题 2 + 宋体"/>
    <w:basedOn w:val="40"/>
    <w:qFormat/>
    <w:uiPriority w:val="99"/>
    <w:pPr>
      <w:keepLines w:val="0"/>
      <w:numPr>
        <w:ilvl w:val="1"/>
        <w:numId w:val="0"/>
      </w:numPr>
      <w:tabs>
        <w:tab w:val="left" w:pos="567"/>
        <w:tab w:val="left" w:pos="992"/>
        <w:tab w:val="right" w:pos="8640"/>
      </w:tabs>
      <w:overflowPunct w:val="0"/>
      <w:autoSpaceDE w:val="0"/>
      <w:autoSpaceDN w:val="0"/>
      <w:adjustRightInd w:val="0"/>
      <w:snapToGrid w:val="0"/>
      <w:spacing w:before="260" w:after="260" w:afterLines="50" w:line="360" w:lineRule="auto"/>
      <w:ind w:left="992" w:right="482" w:hanging="567"/>
      <w:textAlignment w:val="baseline"/>
    </w:pPr>
    <w:rPr>
      <w:rFonts w:ascii="宋体" w:hAnsi="宋体"/>
      <w:b/>
      <w:bCs/>
      <w:kern w:val="28"/>
      <w:sz w:val="28"/>
      <w:szCs w:val="30"/>
    </w:rPr>
  </w:style>
  <w:style w:type="paragraph" w:customStyle="1" w:styleId="40">
    <w:name w:val="报告书正文 Char"/>
    <w:basedOn w:val="1"/>
    <w:qFormat/>
    <w:uiPriority w:val="0"/>
    <w:pPr>
      <w:adjustRightInd w:val="0"/>
      <w:snapToGrid w:val="0"/>
      <w:spacing w:line="400" w:lineRule="atLeast"/>
      <w:ind w:firstLine="567"/>
    </w:pPr>
    <w:rPr>
      <w:rFonts w:ascii="Times New Roman" w:hAnsi="Times New Roman"/>
      <w:sz w:val="24"/>
      <w:szCs w:val="20"/>
    </w:rPr>
  </w:style>
  <w:style w:type="character" w:customStyle="1" w:styleId="41">
    <w:name w:val="页眉 Char"/>
    <w:basedOn w:val="28"/>
    <w:link w:val="24"/>
    <w:qFormat/>
    <w:uiPriority w:val="99"/>
    <w:rPr>
      <w:sz w:val="18"/>
      <w:szCs w:val="18"/>
    </w:rPr>
  </w:style>
  <w:style w:type="character" w:customStyle="1" w:styleId="42">
    <w:name w:val="页脚 Char"/>
    <w:basedOn w:val="28"/>
    <w:link w:val="23"/>
    <w:qFormat/>
    <w:uiPriority w:val="99"/>
    <w:rPr>
      <w:sz w:val="18"/>
      <w:szCs w:val="18"/>
    </w:rPr>
  </w:style>
  <w:style w:type="character" w:customStyle="1" w:styleId="43">
    <w:name w:val="批注框文本 Char"/>
    <w:basedOn w:val="28"/>
    <w:link w:val="22"/>
    <w:semiHidden/>
    <w:qFormat/>
    <w:uiPriority w:val="99"/>
    <w:rPr>
      <w:sz w:val="18"/>
      <w:szCs w:val="18"/>
    </w:rPr>
  </w:style>
  <w:style w:type="paragraph" w:styleId="44">
    <w:name w:val="List Paragraph"/>
    <w:basedOn w:val="1"/>
    <w:qFormat/>
    <w:uiPriority w:val="34"/>
    <w:pPr>
      <w:ind w:firstLine="420" w:firstLineChars="200"/>
    </w:pPr>
  </w:style>
  <w:style w:type="character" w:customStyle="1" w:styleId="45">
    <w:name w:val="日期 Char"/>
    <w:basedOn w:val="28"/>
    <w:link w:val="21"/>
    <w:semiHidden/>
    <w:qFormat/>
    <w:uiPriority w:val="99"/>
  </w:style>
  <w:style w:type="paragraph" w:customStyle="1" w:styleId="46">
    <w:name w:val="Char Char Char Char Char Char Char Char Char Char Char Char1 Char"/>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47">
    <w:name w:val="报告表  段 Char Char"/>
    <w:link w:val="48"/>
    <w:qFormat/>
    <w:uiPriority w:val="0"/>
    <w:rPr>
      <w:rFonts w:ascii="宋体"/>
      <w:sz w:val="24"/>
    </w:rPr>
  </w:style>
  <w:style w:type="paragraph" w:customStyle="1" w:styleId="48">
    <w:name w:val="报告表  段"/>
    <w:basedOn w:val="1"/>
    <w:link w:val="47"/>
    <w:qFormat/>
    <w:uiPriority w:val="0"/>
    <w:pPr>
      <w:adjustRightInd w:val="0"/>
      <w:spacing w:line="360" w:lineRule="auto"/>
      <w:ind w:firstLine="505"/>
      <w:textAlignment w:val="baseline"/>
    </w:pPr>
    <w:rPr>
      <w:rFonts w:ascii="宋体"/>
      <w:sz w:val="24"/>
    </w:rPr>
  </w:style>
  <w:style w:type="paragraph" w:customStyle="1" w:styleId="49">
    <w:name w:val="Char Char Char Char Char Char Char Char Char Char Char Char1 Char1"/>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0">
    <w:name w:val="yqlink"/>
    <w:basedOn w:val="28"/>
    <w:qFormat/>
    <w:uiPriority w:val="0"/>
  </w:style>
  <w:style w:type="character" w:customStyle="1" w:styleId="51">
    <w:name w:val="@ 正文 Char"/>
    <w:link w:val="52"/>
    <w:qFormat/>
    <w:uiPriority w:val="0"/>
    <w:rPr>
      <w:rFonts w:ascii="Times New Roman" w:hAnsi="宋体"/>
      <w:sz w:val="24"/>
      <w:szCs w:val="21"/>
    </w:rPr>
  </w:style>
  <w:style w:type="paragraph" w:customStyle="1" w:styleId="52">
    <w:name w:val="@ 正文"/>
    <w:basedOn w:val="1"/>
    <w:link w:val="51"/>
    <w:qFormat/>
    <w:uiPriority w:val="0"/>
    <w:pPr>
      <w:tabs>
        <w:tab w:val="left" w:pos="1980"/>
        <w:tab w:val="left" w:pos="3825"/>
        <w:tab w:val="left" w:pos="4680"/>
      </w:tabs>
      <w:spacing w:line="480" w:lineRule="exact"/>
      <w:ind w:firstLine="200" w:firstLineChars="200"/>
    </w:pPr>
    <w:rPr>
      <w:rFonts w:ascii="Times New Roman" w:hAnsi="宋体"/>
      <w:sz w:val="24"/>
      <w:szCs w:val="21"/>
    </w:rPr>
  </w:style>
  <w:style w:type="paragraph" w:customStyle="1" w:styleId="53">
    <w:name w:val="Char1 Char Char Char Char Char1 Char"/>
    <w:basedOn w:val="1"/>
    <w:qFormat/>
    <w:uiPriority w:val="0"/>
    <w:pPr>
      <w:widowControl/>
      <w:ind w:firstLine="200" w:firstLineChars="200"/>
      <w:jc w:val="left"/>
    </w:pPr>
    <w:rPr>
      <w:rFonts w:ascii="宋体" w:hAnsi="宋体" w:eastAsia="宋体" w:cs="宋体"/>
      <w:kern w:val="0"/>
      <w:szCs w:val="24"/>
    </w:rPr>
  </w:style>
  <w:style w:type="paragraph" w:customStyle="1" w:styleId="54">
    <w:name w:val="Char1 Char Char Char Char Char1 Char1"/>
    <w:basedOn w:val="1"/>
    <w:qFormat/>
    <w:uiPriority w:val="0"/>
    <w:pPr>
      <w:widowControl/>
      <w:ind w:firstLine="200" w:firstLineChars="200"/>
      <w:jc w:val="left"/>
    </w:pPr>
    <w:rPr>
      <w:rFonts w:ascii="宋体" w:hAnsi="宋体" w:eastAsia="宋体" w:cs="宋体"/>
      <w:kern w:val="0"/>
      <w:szCs w:val="24"/>
    </w:rPr>
  </w:style>
  <w:style w:type="paragraph" w:customStyle="1" w:styleId="55">
    <w:name w:val="Char Char Char Char Char Char Char Char Char Char Char Char1 Char2"/>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6">
    <w:name w:val="fontstyle01"/>
    <w:basedOn w:val="28"/>
    <w:qFormat/>
    <w:uiPriority w:val="0"/>
    <w:rPr>
      <w:rFonts w:hint="eastAsia" w:ascii="宋体" w:hAnsi="宋体" w:eastAsia="宋体"/>
      <w:color w:val="000000"/>
      <w:sz w:val="24"/>
      <w:szCs w:val="24"/>
    </w:rPr>
  </w:style>
  <w:style w:type="character" w:customStyle="1" w:styleId="57">
    <w:name w:val="fontstyle21"/>
    <w:basedOn w:val="28"/>
    <w:qFormat/>
    <w:uiPriority w:val="0"/>
    <w:rPr>
      <w:rFonts w:hint="default" w:ascii="Times New Roman" w:hAnsi="Times New Roman" w:cs="Times New Roman"/>
      <w:color w:val="000000"/>
      <w:sz w:val="24"/>
      <w:szCs w:val="24"/>
    </w:rPr>
  </w:style>
  <w:style w:type="paragraph" w:customStyle="1" w:styleId="58">
    <w:name w:val="Char Char Char Char Char Char Char Char Char Char Char Char1 Char3"/>
    <w:basedOn w:val="1"/>
    <w:qFormat/>
    <w:uiPriority w:val="0"/>
    <w:pPr>
      <w:spacing w:line="360" w:lineRule="auto"/>
      <w:ind w:firstLine="200" w:firstLineChars="200"/>
    </w:pPr>
    <w:rPr>
      <w:rFonts w:ascii="Times New Roman" w:hAnsi="Times New Roman" w:eastAsia="宋体" w:cs="Times New Roman"/>
      <w:szCs w:val="24"/>
    </w:rPr>
  </w:style>
  <w:style w:type="character" w:customStyle="1" w:styleId="59">
    <w:name w:val="fontstyle11"/>
    <w:basedOn w:val="28"/>
    <w:qFormat/>
    <w:uiPriority w:val="0"/>
    <w:rPr>
      <w:rFonts w:ascii="TimesNewRomanPSMT" w:hAnsi="TimesNewRomanPSMT" w:eastAsia="TimesNewRomanPSMT" w:cs="TimesNewRomanPSMT"/>
      <w:color w:val="000000"/>
      <w:sz w:val="24"/>
      <w:szCs w:val="24"/>
    </w:rPr>
  </w:style>
  <w:style w:type="character" w:customStyle="1" w:styleId="60">
    <w:name w:val="样式 楷体_GB2312 黑色"/>
    <w:basedOn w:val="28"/>
    <w:qFormat/>
    <w:uiPriority w:val="0"/>
    <w:rPr>
      <w:rFonts w:hint="eastAsia" w:ascii="楷体_GB2312" w:hAnsi="宋体" w:eastAsia="楷体_GB2312"/>
      <w:b/>
      <w:color w:val="000000"/>
      <w:sz w:val="24"/>
      <w:lang w:val="en-US" w:eastAsia="zh-CN"/>
    </w:rPr>
  </w:style>
  <w:style w:type="paragraph" w:customStyle="1" w:styleId="61">
    <w:name w:val="_Style 182"/>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62">
    <w:name w:val="报告正文"/>
    <w:basedOn w:val="1"/>
    <w:qFormat/>
    <w:uiPriority w:val="0"/>
    <w:pPr>
      <w:ind w:firstLine="200" w:firstLineChars="200"/>
    </w:pPr>
  </w:style>
  <w:style w:type="paragraph" w:customStyle="1" w:styleId="63">
    <w:name w:val="p16"/>
    <w:qFormat/>
    <w:uiPriority w:val="0"/>
    <w:rPr>
      <w:rFonts w:ascii="仿宋_GB2312" w:hAnsi="宋体" w:eastAsia="仿宋_GB2312"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1921</Words>
  <Characters>2145</Characters>
  <Lines>8</Lines>
  <Paragraphs>2</Paragraphs>
  <TotalTime>14</TotalTime>
  <ScaleCrop>false</ScaleCrop>
  <LinksUpToDate>false</LinksUpToDate>
  <CharactersWithSpaces>2170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2020-11-26T03:19:00Z</dcterms:created>
  <dc:creator>张艳</dc:creator>
  <cp:lastModifiedBy>微信用户</cp:lastModifiedBy>
  <cp:lastPrinted>2023-10-16T01:26:14Z</cp:lastPrinted>
  <dcterms:modified xsi:type="dcterms:W3CDTF">2023-10-16T01:27:50Z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82260EF8CDD945D3B0B7B9F6E72A327A_13</vt:lpwstr>
  </property>
</Properties>
</file>